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新疆工程学院</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color w:val="666666"/>
          <w:sz w:val="21"/>
          <w:szCs w:val="21"/>
        </w:rPr>
        <w:t> 新疆工程学院是新疆维吾尔自治区人民政府举办、教育厅主管的普通本科院校，坐落于美丽的首府乌鲁木齐市。2016年学校被列为国家应用型转型试点高校。学校共有四个校区，占地面积1929.60亩，校舍面积43.65万平方米。学校秉承“知行统一，追求卓越”的校训，发扬“艰苦奋斗、扎根边疆、自强不息、甘于奉献”的胡杨精神，逐渐形成了鲜明的工科应用型办学特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为全面贯彻执行教育部关于实施阳光工程、依法治招的文件精神，做好我校2021年招生工作，确保招生“公开、公平、公正”，根据《中华人民共和国高等教育法》和教育部有关规定，特制定本章程。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w:t>
      </w:r>
      <w:r>
        <w:rPr>
          <w:rFonts w:ascii="Microsoft YaHei" w:eastAsia="Microsoft YaHei" w:hAnsi="Microsoft YaHei" w:cs="Microsoft YaHei"/>
          <w:color w:val="666666"/>
          <w:sz w:val="21"/>
          <w:szCs w:val="21"/>
        </w:rPr>
        <w:t> 学校全称：新疆工程学院   学校代码（国标）：10994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三</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学校地址：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主校区：乌鲁木齐市经济技术开发区(头屯河区)科创路1350号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南昌路校区：乌鲁木齐市南昌路236号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天津路校区：乌鲁木齐市天津路176号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北京路校区：乌鲁木齐市北京北路335号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四</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办学层次：普通本科、专科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五</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办学类型：公办普通高等学校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六</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学校设立新疆工程学院招生委员会，招生工作在校招生委员会统一领导下进行，学校招生就业处负责具体实施工作。招生委员会由学校领导、招生就业处、学校纪检监察室等相关部门和教师、学生代表等人员组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七</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学校纪检监察部门对招生过程进行监督。学校招生录取现场设立开放日，邀请教师、考生、家长以及校友等社会人士参加，自觉接受第三方监督。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计划与录取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八</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学校录取批次为本科提前批次、本科二批次、南疆单列对口援疆本科二批次和高职（专科）批次。学校执行教育部规定的“学校负责，教育考试院监督”的录取体制，录取工作在各省（自治区、直辖市）招生主管部门统一组织下进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九</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学校在国家核定的普通高等教育年度招生规模内，根据人才培养目标、办学条件等实际情况，统筹考虑生源、政策支持、历年招生情况等因素，科学合理编制本校分省、分层次、分专业招生计划。报教育部审核后由各省（自治区、直辖市）招生主管部门向社会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w:t>
      </w:r>
      <w:r>
        <w:rPr>
          <w:rFonts w:ascii="Microsoft YaHei" w:eastAsia="Microsoft YaHei" w:hAnsi="Microsoft YaHei" w:cs="Microsoft YaHei"/>
          <w:color w:val="666666"/>
          <w:sz w:val="21"/>
          <w:szCs w:val="21"/>
        </w:rPr>
        <w:t> 学校的学科专业设置涵盖工学、管理学、经济学和艺术学等学科门类。高考改革试点省份按照各省（自治区、直辖市）相关规定执行。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w:t>
      </w:r>
      <w:r>
        <w:rPr>
          <w:rFonts w:ascii="Microsoft YaHei" w:eastAsia="Microsoft YaHei" w:hAnsi="Microsoft YaHei" w:cs="Microsoft YaHei"/>
          <w:b/>
          <w:bCs/>
          <w:color w:val="666666"/>
          <w:sz w:val="21"/>
          <w:szCs w:val="21"/>
        </w:rPr>
        <w:t>一</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我校2021年“化工与制药类”按大类招生和培养：涵盖化学工程与工艺（081301）、材料科学与工程（080401）、环境科学与工程（082501）专业。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在遵循教育部及各省（自治区、直辖市）相关招生政策基础上，新生的录取坚持德、智、体、美、劳全面衡量，以文化考试成绩为主，坚持公平、公正和择优录取的原则。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w:t>
      </w:r>
      <w:r>
        <w:rPr>
          <w:rFonts w:ascii="Microsoft YaHei" w:eastAsia="Microsoft YaHei" w:hAnsi="Microsoft YaHei" w:cs="Microsoft YaHei"/>
          <w:color w:val="666666"/>
          <w:sz w:val="21"/>
          <w:szCs w:val="21"/>
        </w:rPr>
        <w:t> 按考生填报的学校志愿优先的原则，从高分到低分择优录取进档考生，若第一志愿生源不足，则择优录取非第一志愿的上线考生。学校调阅考生档案比例控制在当地同类招生计划数的100%以内。学校不设院校志愿级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w:t>
      </w:r>
      <w:r>
        <w:rPr>
          <w:rFonts w:ascii="Microsoft YaHei" w:eastAsia="Microsoft YaHei" w:hAnsi="Microsoft YaHei" w:cs="Microsoft YaHei"/>
          <w:color w:val="666666"/>
          <w:sz w:val="21"/>
          <w:szCs w:val="21"/>
        </w:rPr>
        <w:t> 专业录取时不设专业志愿分数级差，对进档考生实施德智体美劳全面考核，按照“分数优先，遵循志愿”的原则，即按各省、区、直辖市教育考试院投档成绩从高分到低分排序，依照考生填报的专业志愿、投档成绩、相关科目成绩、身体条件等因素综合考虑安排专业。所有专业志愿都无法满足的考生，如果服从专业调剂，由学校按照考生高考投档成绩从高到低调剂到招生计划未完成的专业，直至录取额满。专业录取计划已满额时，对不服从专业志愿调配的进档考生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第十五条</w:t>
      </w:r>
      <w:r>
        <w:rPr>
          <w:rFonts w:ascii="Microsoft YaHei" w:eastAsia="Microsoft YaHei" w:hAnsi="Microsoft YaHei" w:cs="Microsoft YaHei"/>
          <w:color w:val="666666"/>
          <w:sz w:val="21"/>
          <w:szCs w:val="21"/>
        </w:rPr>
        <w:t> 对依上述规则进行调配和退档的考生，学院不征求考生意见。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第十六条</w:t>
      </w:r>
      <w:r>
        <w:rPr>
          <w:rFonts w:ascii="Microsoft YaHei" w:eastAsia="Microsoft YaHei" w:hAnsi="Microsoft YaHei" w:cs="Microsoft YaHei"/>
          <w:color w:val="666666"/>
          <w:sz w:val="21"/>
          <w:szCs w:val="21"/>
        </w:rPr>
        <w:t> 我校数字媒体艺术专业使用省（自治区、直辖市）美术类统考成绩录取，报考考生当年艺术统考成绩必须达到所在省（自治区、直辖市）合格线要求，当年高考文化课成绩达到所在省（自治区、直辖市）教育考试院公布的最低投档线要求，录取时按综合成绩排序即当年普通高考文化课投档成绩的50%与美术类统考成绩的50%之和，从高分到低分依次录取。总分相同时，当年普通高考文化课投档成绩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第十七条</w:t>
      </w:r>
      <w:r>
        <w:rPr>
          <w:rFonts w:ascii="Microsoft YaHei" w:eastAsia="Microsoft YaHei" w:hAnsi="Microsoft YaHei" w:cs="Microsoft YaHei"/>
          <w:color w:val="666666"/>
          <w:sz w:val="21"/>
          <w:szCs w:val="21"/>
        </w:rPr>
        <w:t> 高考附加分：按照各省招生考试委员会有关加分或降分投档的政策执行。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第十八条</w:t>
      </w:r>
      <w:r>
        <w:rPr>
          <w:rFonts w:ascii="Microsoft YaHei" w:eastAsia="Microsoft YaHei" w:hAnsi="Microsoft YaHei" w:cs="Microsoft YaHei"/>
          <w:color w:val="666666"/>
          <w:sz w:val="21"/>
          <w:szCs w:val="21"/>
        </w:rPr>
        <w:t> 投档成绩相同时，优先录取一志愿报考考生，以此类推。同等条件下，品行优良、理工类理科数学成绩、文史类语文成绩高者优先录取；若单科成绩还相同时，理工类理科综合成绩、文史类文科综合成绩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第十九条</w:t>
      </w:r>
      <w:r>
        <w:rPr>
          <w:rFonts w:ascii="Microsoft YaHei" w:eastAsia="Microsoft YaHei" w:hAnsi="Microsoft YaHei" w:cs="Microsoft YaHei"/>
          <w:color w:val="666666"/>
          <w:sz w:val="21"/>
          <w:szCs w:val="21"/>
        </w:rPr>
        <w:t> 我校公共课程中的外语为大学英语，请外语语种非英语的考生慎重填报。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第二十条</w:t>
      </w:r>
      <w:r>
        <w:rPr>
          <w:rFonts w:ascii="Microsoft YaHei" w:eastAsia="Microsoft YaHei" w:hAnsi="Microsoft YaHei" w:cs="Microsoft YaHei"/>
          <w:color w:val="666666"/>
          <w:sz w:val="21"/>
          <w:szCs w:val="21"/>
        </w:rPr>
        <w:t> “采矿工程”、“矿物加工工程”专业因实际工作岗位特殊要求，适合男生就读，建议女生慎重报考。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第二十一条</w:t>
      </w:r>
      <w:r>
        <w:rPr>
          <w:rFonts w:ascii="Microsoft YaHei" w:eastAsia="Microsoft YaHei" w:hAnsi="Microsoft YaHei" w:cs="Microsoft YaHei"/>
          <w:color w:val="666666"/>
          <w:sz w:val="21"/>
          <w:szCs w:val="21"/>
        </w:rPr>
        <w:t> “新疆工程学院招生体检标准参照教育部、原卫生部颁布的《普通高校招生体检工作指导意见》及有关补充规定执行。”色觉异常II度（俗称色盲）不能录取至本科工业设计、自动化、测控技术与仪器、轨道交通信号与控制专业和专科电气自动化技术、工业过程自动化技术专业；肢体残疾（不继续恶化）、两耳听力均在3米以内，或一耳听力在5米另一耳全聋的，不宜就读本科自动化、测控技术与仪器、轨道交通信号与控制专业和专科电气自动化技术、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业过程自动化技术专业。消防工程专业对视力不做限制要求。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w:t>
      </w:r>
      <w:r>
        <w:rPr>
          <w:rFonts w:ascii="Microsoft YaHei" w:eastAsia="Microsoft YaHei" w:hAnsi="Microsoft YaHei" w:cs="Microsoft YaHei"/>
          <w:b/>
          <w:bCs/>
          <w:color w:val="666666"/>
          <w:sz w:val="21"/>
          <w:szCs w:val="21"/>
        </w:rPr>
        <w:t>二</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物联网工程、通信工程专业投放的招生计划只用于“中兴产教融合合作班”项目的招生。只录取所填报志愿中有该专业志愿的考生。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新生入学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w:t>
      </w:r>
      <w:r>
        <w:rPr>
          <w:rFonts w:ascii="Microsoft YaHei" w:eastAsia="Microsoft YaHei" w:hAnsi="Microsoft YaHei" w:cs="Microsoft YaHei"/>
          <w:b/>
          <w:bCs/>
          <w:color w:val="666666"/>
          <w:sz w:val="21"/>
          <w:szCs w:val="21"/>
        </w:rPr>
        <w:t>三</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按国家招生规定录取的新生，持录取通知书，按学校有关要求和规定的期限到校办理入学手续。因故不能按期入学者，应当向学校请假。未请假或者请假逾期者，除因不可抗力等正当事由以外，视为放弃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w:t>
      </w:r>
      <w:r>
        <w:rPr>
          <w:rFonts w:ascii="Microsoft YaHei" w:eastAsia="Microsoft YaHei" w:hAnsi="Microsoft YaHei" w:cs="Microsoft YaHei"/>
          <w:b/>
          <w:bCs/>
          <w:color w:val="666666"/>
          <w:sz w:val="21"/>
          <w:szCs w:val="21"/>
        </w:rPr>
        <w:t>四</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学费和住宿费标准：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本科专业学费：理工类3500元/生•学年；艺术类：6000元/生•学年；“中兴产教融合合作班”项目专业学费：8500元/生•学年。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专科专业学费：理工类专业3300元/生•学年。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住宿费：600元/生•学年（8人间）、800元/生•学年（6人间）。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w:t>
      </w:r>
      <w:r>
        <w:rPr>
          <w:rFonts w:ascii="Microsoft YaHei" w:eastAsia="Microsoft YaHei" w:hAnsi="Microsoft YaHei" w:cs="Microsoft YaHei"/>
          <w:b/>
          <w:bCs/>
          <w:color w:val="666666"/>
          <w:sz w:val="21"/>
          <w:szCs w:val="21"/>
        </w:rPr>
        <w:t>五</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生入学后，将在三个月内按照国家招生规定进行复查，复查内容主要包括：（一）录取手续及程序等是否符合国家招生规定；（二）所获得的录取资格是否真实、符合相关规定；（三）本人及身份证明与录取通知、考生档案等是否一致；（四）身心健康状况是否符合报考专业或者专业类别体检要求，能否保证在校正常学习、生活；（五）艺术类等特殊类型录取学生的专业水平是否符合录取要求。复查中发现学生存在弄虚作假、徇私舞弊等情形的，确定为复查不合格，将取消该生学籍；情节严重的，学校将移交有关部门调查处理。复查中发现学生身心状况不适宜在校学习，经学校指定的二级甲等及以上医院诊断，需要在家休养的，可申请保留入学资格。复查合格者予以注册，取得学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w:t>
      </w:r>
      <w:r>
        <w:rPr>
          <w:rFonts w:ascii="Microsoft YaHei" w:eastAsia="Microsoft YaHei" w:hAnsi="Microsoft YaHei" w:cs="Microsoft YaHei"/>
          <w:b/>
          <w:bCs/>
          <w:color w:val="666666"/>
          <w:sz w:val="21"/>
          <w:szCs w:val="21"/>
        </w:rPr>
        <w:t>六</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每学期开学时，学生应当按学校规定办理注册手续。不能如期注册者，应当履行暂缓注册手续。未按学校规定缴纳学费或者其他不符合注册条件的不予注册。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w:t>
      </w:r>
      <w:r>
        <w:rPr>
          <w:rFonts w:ascii="Microsoft YaHei" w:eastAsia="Microsoft YaHei" w:hAnsi="Microsoft YaHei" w:cs="Microsoft YaHei"/>
          <w:b/>
          <w:bCs/>
          <w:color w:val="666666"/>
          <w:sz w:val="21"/>
          <w:szCs w:val="21"/>
        </w:rPr>
        <w:t>七</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专项计划（“中兴产教融合合作班”项目、应用型本科“4+0”联合培养计划、专升本计划、应用型本科“3+2”联合培养计划）考生，入学后及在校期间，一律不得申请调整学校和专业。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w:t>
      </w:r>
      <w:r>
        <w:rPr>
          <w:rFonts w:ascii="Microsoft YaHei" w:eastAsia="Microsoft YaHei" w:hAnsi="Microsoft YaHei" w:cs="Microsoft YaHei"/>
          <w:b/>
          <w:bCs/>
          <w:color w:val="666666"/>
          <w:sz w:val="21"/>
          <w:szCs w:val="21"/>
        </w:rPr>
        <w:t>八</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学校设有国家奖学金、国家励志奖学金、自治区人民政府高校励志奖学金、学校卓越奖学金、校长奖学金、红石榴奖学金、雪莲奖学金、龙软科技奖学金等。设有国家助学金、自治区人民政府高校助学金，学校设置临时困难补助、勤工助学岗位为学生顺利完成学业提供帮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w:t>
      </w:r>
      <w:r>
        <w:rPr>
          <w:rFonts w:ascii="Microsoft YaHei" w:eastAsia="Microsoft YaHei" w:hAnsi="Microsoft YaHei" w:cs="Microsoft YaHei"/>
          <w:b/>
          <w:bCs/>
          <w:color w:val="666666"/>
          <w:sz w:val="21"/>
          <w:szCs w:val="21"/>
        </w:rPr>
        <w:t>九</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学历证书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本科学制4年，专科学制3年。学生在学校规定年限内，修完教育教学计划规定内容，德、智、体、美、劳达到毕业要求，准予毕业，由学校发给毕业证书。符合学士学位授予条件的本科毕业生颁发学士学位证书。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三十</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新疆工程学院招生委员会办公室负责具体招生工作。新疆工程学院未委托任何中介机构或个人从事代理招生工作。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三十一</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新疆工程学院招生办公室联系方式：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通信地址：乌鲁木齐市经济技术开发区(头屯河区)科创路1350号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邮政编码：830023          咨询电话：0991-7977269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  真：0991-7977268      网址： http://www.xjie.edu.cn/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电子邮箱：zsjyc@xjie. edu. 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w:t>
      </w:r>
      <w:r>
        <w:rPr>
          <w:rFonts w:ascii="Microsoft YaHei" w:eastAsia="Microsoft YaHei" w:hAnsi="Microsoft YaHei" w:cs="Microsoft YaHei"/>
          <w:b/>
          <w:bCs/>
          <w:color w:val="666666"/>
          <w:sz w:val="21"/>
          <w:szCs w:val="21"/>
        </w:rPr>
        <w:t>二</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本章程自公布之日开始实行。新疆工程学院以往有关招生工作的规定与本章程不一致时，以本章程为准。</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伊犁师范大学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伊犁师范大学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石河子大学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年本专科招生章程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宁夏大学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8.html" TargetMode="External" /><Relationship Id="rId11" Type="http://schemas.openxmlformats.org/officeDocument/2006/relationships/hyperlink" Target="http://www.gk114.com/a/gxzs/zszc/xinjiang/2021/0615/19937.html" TargetMode="External" /><Relationship Id="rId12" Type="http://schemas.openxmlformats.org/officeDocument/2006/relationships/hyperlink" Target="http://www.gk114.com/a/gxzs/zszc/xinjiang/2021/0615/19936.html" TargetMode="External" /><Relationship Id="rId13" Type="http://schemas.openxmlformats.org/officeDocument/2006/relationships/hyperlink" Target="http://www.gk114.com/a/gxzs/zszc/xinjiang/2021/0615/19932.html" TargetMode="External" /><Relationship Id="rId14" Type="http://schemas.openxmlformats.org/officeDocument/2006/relationships/hyperlink" Target="http://www.gk114.com/a/gxzs/zszc/xinjiang/2021/0224/18751.html"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21/0615/19933.html" TargetMode="External" /><Relationship Id="rId5" Type="http://schemas.openxmlformats.org/officeDocument/2006/relationships/hyperlink" Target="http://www.gk114.com/a/gxzs/zszc/xinjiang/2021/0615/19935.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1/0615/19941.html" TargetMode="External" /><Relationship Id="rId8" Type="http://schemas.openxmlformats.org/officeDocument/2006/relationships/hyperlink" Target="http://www.gk114.com/a/gxzs/zszc/xinjiang/2021/0615/19940.html" TargetMode="External" /><Relationship Id="rId9" Type="http://schemas.openxmlformats.org/officeDocument/2006/relationships/hyperlink" Target="http://www.gk114.com/a/gxzs/zszc/xinjiang/2021/0615/1993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