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新疆科信职业技术学院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2020-05-24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院校名称：新疆科信职业技术学院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院校代码：</w:t>
      </w:r>
      <w:r>
        <w:rPr>
          <w:rFonts w:ascii="Times New Roman" w:eastAsia="Times New Roman" w:hAnsi="Times New Roman" w:cs="Times New Roman"/>
        </w:rPr>
        <w:t xml:space="preserve">14679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院校性质：具有颁发国家专科学历文凭资格的民办全日制普通高等职业院校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学校基本情况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新疆科信职业技术学院是经新疆自治区人民政府批准，国家教育部备案，以培养生产、建设、管理、服务等一线急需的高素质、高技能应用型人才为目标，具有颁发国家学历文凭资格的综合性普通高等院校。招生代码：</w:t>
      </w:r>
      <w:r>
        <w:rPr>
          <w:rFonts w:ascii="Times New Roman" w:eastAsia="Times New Roman" w:hAnsi="Times New Roman" w:cs="Times New Roman"/>
        </w:rPr>
        <w:t>14679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新疆科信职业技术学院，结合国家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一带一路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战略实施，促进新疆区域经济繁荣与发展应运而生，以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扎根新疆，面向南疆，服务基层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为办学理念，坚持把立德树人作为学校教育的根本任务，培养具有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工匠精神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的复合式创新型高素质技术技能人才，顺应丝绸之路经济带发展战略需要，推动新疆经济社会和科学文化事业发展。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建校以来，科信人艰苦创业，开拓进取，不断创新教育教学理念、办学体制机制和人才培养模式，各项教育事业取得了喜人成效。学院在教学上勇于创新，构建了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专业文凭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实用技能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职业资格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的培养体系坚持走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产、学、研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结合的道路，实施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大学与企业并行，科技与财富共赢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的方针，形成了科教有设备、技术有人才、实训有场地、学生有工作的良好办学基础和鲜明办学特色。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我校办学有特色、管理有章法、学生有特长、就业有选择，是您可以信赖的一所学府。打造全新万人职业技术院校，培养现代实用技术人才是我院全体师生孜孜以求的奋斗目标。新疆科信职业技术学院为您打造放飞希望的翅膀，新疆科信职业技术学院是您实现理想的最佳选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学院设招生工作委员会，负责学院招生工作的总体决策部署、计划统筹及协调推进，并对重大事宜做出决策。招生工作委员会由学院党委常委和相关部门负责人组成。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下设学院招生就业办公室，是学院组织和实施招生工作的常设机构，负责学院招生就业日常工作，并接受学院纪检监察部门的监督。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在录取过程中接受纪检监察部门、新闻媒体、考生及其家长以及社会各界的监督，邀请教师、学生、家长代表巡视录取现场，对招生工作实施第三方监督。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招生计划及收费标准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学校专业招生计划及有关要求以省（自治区、直辖市）考试院或招生办公布的普通高等学校招生专业目录为准。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高职（专科）学生每年的学费在</w:t>
      </w:r>
      <w:r>
        <w:rPr>
          <w:rFonts w:ascii="Times New Roman" w:eastAsia="Times New Roman" w:hAnsi="Times New Roman" w:cs="Times New Roman"/>
        </w:rPr>
        <w:t>5500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-5800</w:t>
      </w:r>
      <w:r>
        <w:rPr>
          <w:rFonts w:ascii="SimSun" w:eastAsia="SimSun" w:hAnsi="SimSun" w:cs="SimSun"/>
        </w:rPr>
        <w:t>元。住宿费等其他收费标准详见学院下发的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年招生简章和新生报到须知。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退费办法：按自治区相关规定执行。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招生工作遵循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公平竞争、公正选拔、公开程序，德智体美劳全面考核、综合评价、择优录取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以分数优先、遵循志愿为原则，即先按高分到低分排列，依次按照考生填报的专业志愿顺序录取。考生总分相同时，则按单科顺序及分数从高到低排序。报考普通类或单列类招生计划单科成绩的排列顺序为：文史类按语文、文科综合、文科数学、外语排序；理工类按理科数学、理科综合、语文、外语排序。报考双语类或民语言类招生计划单科成绩的排列顺序为：文史类按语文、文科综合、文科数学、民族语文排序；理工类按理科数学、理科综合、语文、民族语文排序。所有志愿都无法满足的，如果服从调剂，将由学校调剂录取到相应专业，不服从调剂的，则做退档处理；专业调剂和退档均不再征求考生意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照顾政策严格按照各省（自治区、直辖市）有关文件规定执行。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考生身体状况根据《普通高等学校招生体检标准》执行。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我院公共课程中的外语为大学英语，请外语语种非英语的考生慎重报考。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后续管理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按国家招生规定录取的新生，持录取通知书按学院规定的期限到校办理入学手续。因故不能按期入学者，应当向学院请假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未请假或者请假逾期者，除因不可抗力等正当事由以外，视为放弃入学资格。具体报到要求见</w:t>
      </w:r>
      <w:r>
        <w:rPr>
          <w:rFonts w:ascii="Times New Roman" w:eastAsia="Times New Roman" w:hAnsi="Times New Roman" w:cs="Times New Roman"/>
        </w:rPr>
        <w:t xml:space="preserve"> 2020</w:t>
      </w:r>
      <w:r>
        <w:rPr>
          <w:rFonts w:ascii="SimSun" w:eastAsia="SimSun" w:hAnsi="SimSun" w:cs="SimSun"/>
        </w:rPr>
        <w:t>年新疆科信职业技术学院新生报到须知。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新生入学后，学校在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个月内按照国家招生规定进行复查。复查内容主要包括以下方面：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（一）录取手续及程序等是否符合国家招生规定；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（二）所获得的录取资格是否真实，符合相关规定；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（三）本人及身份证明与录取通知书、考生档案等是否一致；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（四）身心健康状况是否符合报考专业或者专业类别体检要求，能否保证在校正常学习、生活；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复查中发现学生存在弄虚作假、徇私舞弊等情形的，确定为复查不合格，应当取消入学资格；情节严重的，学校应当移交有关部门调查处理。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复查中发现学生身心状况不适宜在校学习，经学校指定的二级甲等及以上医院诊断，需要在家休养的，可以按照规定保留入学资格。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复查的程序和办法，由学校规定。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（五）双语类考生入校后，学校将进行国家通用语言文字水平测试，测试达不到专业学习标准的学生将进行为期一年的预科学习；民语言类学生需预科一年。预科期间，自治区财政补助学生学费、住宿费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生、年。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构建了完善的资助体系，学院设有多种形式的奖助学金、勤工助学等帮助困难学生解决实际困难。学习期间，品学兼优者，符合相应条件的优秀学生分别可申请国家励志奖学金；家庭贫困者，依本人情况分别可申请国家助学金、自治区人民政府助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毕业生学历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学历证书颁发：学生在学校规定学习年限内，修完教育教学计划规定内容，成绩合格，达到学校毕业要求的，我院颁发国家承认的普通高等学校专科毕业证书。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在招生咨询过程中新疆科信职业技术学院咨询人员的意见、建议仅作为考生填报志愿的参考，不属学院录取承诺。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本章程上报教育主管部门审核通过后，自公布之日起执行。本章程由新疆科信职业技术学院招生办公室负责解释。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学校地址：乌鲁木齐沙依巴克区沙枣路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号西山大学城新疆科信职业技术学院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 xml:space="preserve">0991-8522800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微信公众号：</w:t>
      </w:r>
      <w:r>
        <w:rPr>
          <w:rFonts w:ascii="Times New Roman" w:eastAsia="Times New Roman" w:hAnsi="Times New Roman" w:cs="Times New Roman"/>
        </w:rPr>
        <w:t xml:space="preserve">kx8522800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www.kxedu.net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监督电话：</w:t>
      </w:r>
      <w:r>
        <w:rPr>
          <w:rFonts w:ascii="Times New Roman" w:eastAsia="Times New Roman" w:hAnsi="Times New Roman" w:cs="Times New Roman"/>
        </w:rPr>
        <w:t xml:space="preserve">0991-8522900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                          </w:t>
      </w:r>
      <w:r>
        <w:rPr>
          <w:rFonts w:ascii="SimSun" w:eastAsia="SimSun" w:hAnsi="SimSun" w:cs="SimSun"/>
        </w:rPr>
        <w:t>新疆科信职业技术学院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                            </w:t>
      </w:r>
      <w:r>
        <w:rPr>
          <w:rFonts w:ascii="SimSun" w:eastAsia="SimSun" w:hAnsi="SimSun" w:cs="SimSun"/>
        </w:rPr>
        <w:t>二零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二零年六月十日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克孜勒苏职业技术学院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年高职招生章程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塔里木职业技术学院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乌鲁木齐职业大学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年成人招生简章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新疆铁道职业技术学院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新疆职业大学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新疆现代职业技术学院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新疆第二医学院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阿克苏职业技术学院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新疆能源职业技术学院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新疆维吾尔医学专科学校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新疆工程学院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新疆工业职业技术学院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xinjiang/2021/0615/19939.html" TargetMode="External" /><Relationship Id="rId11" Type="http://schemas.openxmlformats.org/officeDocument/2006/relationships/hyperlink" Target="http://www.gk114.com/a/gxzs/zszc/xinjiang/2021/0615/19938.html" TargetMode="External" /><Relationship Id="rId12" Type="http://schemas.openxmlformats.org/officeDocument/2006/relationships/hyperlink" Target="http://www.gk114.com/a/gxzs/zszc/xinjiang/2021/0615/19937.html" TargetMode="External" /><Relationship Id="rId13" Type="http://schemas.openxmlformats.org/officeDocument/2006/relationships/hyperlink" Target="http://www.gk114.com/a/gxzs/zszc/xinjiang/2021/0615/19936.html" TargetMode="External" /><Relationship Id="rId14" Type="http://schemas.openxmlformats.org/officeDocument/2006/relationships/hyperlink" Target="http://www.gk114.com/a/gxzs/zszc/xinjiang/2021/0615/19935.html" TargetMode="External" /><Relationship Id="rId15" Type="http://schemas.openxmlformats.org/officeDocument/2006/relationships/hyperlink" Target="http://www.gk114.com/a/gxzs/zszc/xinjiang/2021/0615/19934.html" TargetMode="External" /><Relationship Id="rId16" Type="http://schemas.openxmlformats.org/officeDocument/2006/relationships/hyperlink" Target="http://www.gk114.com/a/gxzs/zszc/xinjiang/2021/0224/1875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xinjiang/2021/0224/18745.html" TargetMode="External" /><Relationship Id="rId5" Type="http://schemas.openxmlformats.org/officeDocument/2006/relationships/hyperlink" Target="http://www.gk114.com/a/gxzs/zszc/xinjiang/2021/0224/18747.html" TargetMode="External" /><Relationship Id="rId6" Type="http://schemas.openxmlformats.org/officeDocument/2006/relationships/hyperlink" Target="http://www.gk114.com/a/gxzs/zszc/xinjiang/" TargetMode="External" /><Relationship Id="rId7" Type="http://schemas.openxmlformats.org/officeDocument/2006/relationships/hyperlink" Target="http://www.gk114.com/a/gxzs/zszc/xinjiang/2022/0311/21853.html" TargetMode="External" /><Relationship Id="rId8" Type="http://schemas.openxmlformats.org/officeDocument/2006/relationships/hyperlink" Target="http://www.gk114.com/a/gxzs/zszc/xinjiang/2021/0615/19941.html" TargetMode="External" /><Relationship Id="rId9" Type="http://schemas.openxmlformats.org/officeDocument/2006/relationships/hyperlink" Target="http://www.gk114.com/a/gxzs/zszc/xinjiang/2021/0615/1994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