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新疆职业大学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为了保证新疆职业大学普通专科招生工作的顺利进行，规范招生行为，维护考生合法权益，依照教育部普通高等学校招生工作规定，结合学校实际，特制定本章程。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新疆职业大学招生工作遵循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14138</w:t>
      </w:r>
      <w:r>
        <w:rPr>
          <w:rFonts w:ascii="SimSun" w:eastAsia="SimSun" w:hAnsi="SimSun" w:cs="SimSun"/>
        </w:rPr>
        <w:t>（国标代码）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学校成立招生工作领导小组，负责贯彻执行教育部、自治区有关招生工作政策，负责制定招生章程、实施细则、确定招生计划，领导监督招生工作的具体实施，协调处理招生工作中的重大事项。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学校招生工作领导小组下设办公室，其主要职责是根据学校的招生规定和实施细则，编制招生计划，组织招生宣传和招生录取等工作。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新疆职业大学招生工作在学校纪检部门的监督下进行，纪检部门对招生工作进行事前事中事后监督。学校邀请中学教师、考生家长巡视、参观学校面试、录取现场，实施第三方评价监督。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学校专业招生计划及有关要求以各省（自治区、直辖市）考试院或招生办公布的普通高等学校招生专业目录为准。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学校所招各专业收费标准按照新疆维吾尔自治区发展和改革委员会已审批项目及标准收费。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学校录取以分数优先为原则，进档考生的专业安排办法：根据考生填报我校志愿的具体情况，所有投档考生按考分由高到低排序录取，第一专业志愿无法满足的，录取第二专业志愿，所有专业志愿都无法满足的，如果服从专业调剂，将由学校根据分数调剂到其他专业。考生统考科目成绩总分相同时，则按单科顺序及分数从高到低排序。单科成绩的排列顺序为：文史类：语文、文科综合、文科数学；理工类：理科数学、理科综合、语文。高考成绩无法满足所填报的专业志愿，且不服从调剂的，做退档处理。专业调剂和退档均不再征求考生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照顾政策严格按照各省（自治区、直辖市）有关文件规定执行。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对美术类专业的考生，我校认可各省（自治区、直辖市）专业统考成绩，普通高考文化课成绩达到各省（自治区、直辖市）考试院或招生办划定的相应录取控制分数线以上的，再按专业课成绩从高到低依次录取。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空中乘务专业需参加本校组织的远程网上视频面试并取得合格证书，新疆考生在高职（专科）提前批次文理科填报志愿，青海考生在高职专科批次文理科填报志愿，按文化课成绩从高到低依次录取。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学校依照教育部、原卫生部、中国残疾人联合会颁布的《普通高等学校招生体检工作指导意见》录取考生，空中乘务专业体检标准按《民航乘务员体检标准》执行。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飞机机电设备维修专业与广州民航职业技术学院合作办学，第三年在广州民航职业技术学院就读。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特殊类计划录取时按照新疆维吾尔自治区最新相关政策执行。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学校公共课程中的外语为大学英语。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报到者，应在两周内向学校招生办公室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单独招生、优秀中职毕业生直升高职（专科）的录取分别按照新疆职业大学</w:t>
      </w:r>
      <w:r>
        <w:rPr>
          <w:rFonts w:ascii="Times New Roman" w:eastAsia="Times New Roman" w:hAnsi="Times New Roman" w:cs="Times New Roman"/>
        </w:rPr>
        <w:t>2020</w:t>
      </w:r>
      <w:r>
        <w:rPr>
          <w:rFonts w:ascii="SimSun" w:eastAsia="SimSun" w:hAnsi="SimSun" w:cs="SimSun"/>
        </w:rPr>
        <w:t>年单独招生章程、新疆职业大学</w:t>
      </w:r>
      <w:r>
        <w:rPr>
          <w:rFonts w:ascii="Times New Roman" w:eastAsia="Times New Roman" w:hAnsi="Times New Roman" w:cs="Times New Roman"/>
        </w:rPr>
        <w:t>2020</w:t>
      </w:r>
      <w:r>
        <w:rPr>
          <w:rFonts w:ascii="SimSun" w:eastAsia="SimSun" w:hAnsi="SimSun" w:cs="SimSun"/>
        </w:rPr>
        <w:t>年优秀中职毕业生直升高职（专科）招生工作实施方案中相关要求执行。录取后不得调整专业，学籍注册及毕业证发放按照教育部、自治区教育厅及我校有关规定执行。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新生入学后，学校在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（一）录取手续及程序等是否符合国家招生规定；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（二）所获得的录取资格是否真实，符合相关规定；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（三）本人及身份证明与录取通知书、考生档案等是否一致；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（五）艺术、体育等特殊类型录取学生的专业水平是否符合录取要求。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复查中发现学生存在弄虚作假、徇私舞弊取得学籍者，一经查实，学校应当取消其学籍。情节恶劣的，应当请有关部门查究。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患有疾病的新生，经学校指定的二级甲等以上医院（下同）诊断不宜在校学习的，可以保留入学资格一年。保留入学资格者不具有学籍。在保留入学资格期内经治疗康复，可以向学校申请入学，由学校指定医院诊断，符合体检要求，经学校复查合格后，重新办理入学手续。复查不合格或者逾期不办理入学手续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家庭经济困难的学生在提供相关证明前提下，通过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可直接办理入学手续。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构建了完善的资助体系，帮助家庭经济困难学生顺利完成学业，主要资助项目包括：国家奖学金、国家励志奖学金、国家助学金、自治区励志奖学金、自治区助学金、学校奖学金、学校助学金、学校困难补助、勤工助学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毕业生学历及升学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学生在学校规定学习年限内，修完教育教学计划规定内容，成绩合格，德、智、体、美、劳达到毕业要求，准予毕业，由学校发放毕业证书。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毕业生参加自治区组织的专升本考试并被录取，可升入本科院校相近专业继续学习，学业合格者可取得毕业证书和学位证书。相关政策参照自治区当年普通高等教育专升本考试招生工作方案执行。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本章程上报教育主管部门审核通过后，自公布之日起执行。之前出台的有关招生政策、规定与本章程不一致的，均以本章程规定为准。本章程由新疆职业大学招生办公室负责解释。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r>
        <w:rPr>
          <w:rFonts w:ascii="SimSun" w:eastAsia="SimSun" w:hAnsi="SimSun" w:cs="SimSun"/>
        </w:rPr>
        <w:t>乌鲁木齐市北京北路</w:t>
      </w:r>
      <w:r>
        <w:rPr>
          <w:rFonts w:ascii="Times New Roman" w:eastAsia="Times New Roman" w:hAnsi="Times New Roman" w:cs="Times New Roman"/>
        </w:rPr>
        <w:t>1075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 http</w:t>
      </w:r>
      <w:r>
        <w:rPr>
          <w:rFonts w:ascii="SimSun" w:eastAsia="SimSun" w:hAnsi="SimSun" w:cs="SimSun"/>
        </w:rPr>
        <w:t>：</w:t>
      </w:r>
      <w:r>
        <w:rPr>
          <w:rFonts w:ascii="Times New Roman" w:eastAsia="Times New Roman" w:hAnsi="Times New Roman" w:cs="Times New Roman"/>
        </w:rPr>
        <w:t xml:space="preserve">//www.xjvu.edu.cn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3785349</w:t>
      </w:r>
      <w:r>
        <w:rPr>
          <w:rFonts w:ascii="SimSun" w:eastAsia="SimSun" w:hAnsi="SimSun" w:cs="SimSun"/>
        </w:rPr>
        <w:t>、</w:t>
      </w:r>
      <w:r>
        <w:rPr>
          <w:rFonts w:ascii="Times New Roman" w:eastAsia="Times New Roman" w:hAnsi="Times New Roman" w:cs="Times New Roman"/>
        </w:rPr>
        <w:t xml:space="preserve">3718915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举报电话：（</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 xml:space="preserve">3785320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年新疆体育职业技术学院招生章程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年新疆铁道职业技术学院招生章程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1.html" TargetMode="External" /><Relationship Id="rId11" Type="http://schemas.openxmlformats.org/officeDocument/2006/relationships/hyperlink" Target="http://www.gk114.com/a/gxzs/zszc/xinjiang/2021/0615/19940.html" TargetMode="External" /><Relationship Id="rId12" Type="http://schemas.openxmlformats.org/officeDocument/2006/relationships/hyperlink" Target="http://www.gk114.com/a/gxzs/zszc/xinjiang/2021/0615/19939.html" TargetMode="External" /><Relationship Id="rId13" Type="http://schemas.openxmlformats.org/officeDocument/2006/relationships/hyperlink" Target="http://www.gk114.com/a/gxzs/zszc/xinjiang/2021/0615/19938.html" TargetMode="External" /><Relationship Id="rId14" Type="http://schemas.openxmlformats.org/officeDocument/2006/relationships/hyperlink" Target="http://www.gk114.com/a/gxzs/zszc/xinjiang/2021/0615/19937.html" TargetMode="External" /><Relationship Id="rId15" Type="http://schemas.openxmlformats.org/officeDocument/2006/relationships/hyperlink" Target="http://www.gk114.com/a/gxzs/zszc/xinjiang/2021/0615/19936.html" TargetMode="External" /><Relationship Id="rId16" Type="http://schemas.openxmlformats.org/officeDocument/2006/relationships/hyperlink" Target="http://www.gk114.com/a/gxzs/zszc/xinjiang/2021/0615/1993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33.html" TargetMode="External" /><Relationship Id="rId5" Type="http://schemas.openxmlformats.org/officeDocument/2006/relationships/hyperlink" Target="http://www.gk114.com/a/gxzs/zszc/xinjiang/2021/0224/18735.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