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新疆能源职业技术学院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新疆能源职业技术学院根据《中华人民共和国教育法》和国家教育部有关招生工作的法律、法规之规定，结合本院实际情况，为规范招生工作，保证招生工作正常有序进行，制定本章程。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院校名称：新疆能源职业技术学院。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院校代码：</w:t>
      </w:r>
      <w:r>
        <w:rPr>
          <w:rFonts w:ascii="Times New Roman" w:eastAsia="Times New Roman" w:hAnsi="Times New Roman" w:cs="Times New Roman"/>
        </w:rPr>
        <w:t xml:space="preserve">12570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院校类型：经新疆维吾尔自治区人民政府批准并在国家教育部备案的具有高等专科学历教育招生资格的全日制普通高等职业技术学院。业务主管单位为新疆维吾尔自治区教育厅。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院校地址及联络电话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地址：新疆乌鲁木齐达坂城区洛宾路</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830039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0991-5942366</w:t>
      </w:r>
      <w:r>
        <w:rPr>
          <w:rFonts w:ascii="SimSun" w:eastAsia="SimSun" w:hAnsi="SimSun" w:cs="SimSun"/>
        </w:rPr>
        <w:t>、</w:t>
      </w:r>
      <w:r>
        <w:rPr>
          <w:rFonts w:ascii="Times New Roman" w:eastAsia="Times New Roman" w:hAnsi="Times New Roman" w:cs="Times New Roman"/>
        </w:rPr>
        <w:t>5942555</w:t>
      </w:r>
      <w:r>
        <w:rPr>
          <w:rFonts w:ascii="SimSun" w:eastAsia="SimSun" w:hAnsi="SimSun" w:cs="SimSun"/>
        </w:rPr>
        <w:t>、</w:t>
      </w:r>
      <w:r>
        <w:rPr>
          <w:rFonts w:ascii="Times New Roman" w:eastAsia="Times New Roman" w:hAnsi="Times New Roman" w:cs="Times New Roman"/>
        </w:rPr>
        <w:t xml:space="preserve">5945902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//www.xjnyedu.com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本章程适用于新疆能源职业技术学院的普通高职（专科）招生工作。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本学院设立招生工作委员会，全面负责新疆能源职业技术学院的招生工作。招生工作委员会制定招生政策、招生规模、招生计划，讨论决定招生重大事宜。招生工作委员会由学院院务会、相关部门负责人及教师、学生代表组成，充分发挥他们在民主管理和监督方面的作用。学院招生就业办公室是学院组织和实施招生工作的常设机构，负责学院招生就业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符合生源地省级招委会规定的</w:t>
      </w:r>
      <w:r>
        <w:rPr>
          <w:rFonts w:ascii="Times New Roman" w:eastAsia="Times New Roman" w:hAnsi="Times New Roman" w:cs="Times New Roman"/>
        </w:rPr>
        <w:t>2018</w:t>
      </w:r>
      <w:r>
        <w:rPr>
          <w:rFonts w:ascii="SimSun" w:eastAsia="SimSun" w:hAnsi="SimSun" w:cs="SimSun"/>
        </w:rPr>
        <w:t>年高考报考条件的考生。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本校公共课程中的外语为大学英语，请外语语种非英语的考生慎重填报。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执行教育部和各省、区、市招生主管部门制定的录取政策和有关规定。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本着公平、公正、公开的原则，择优录取。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（二）在达到录取分数线的前提下，本着成绩优先的原则，从高分往低分录取。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（三）加分、降分按各省招生部门规定执行。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（五）考生身体状况根据《普通高等学校招生体检标准》执行。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（六）我院调阅考生档案的比例根据各省招生部门规定执行。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执行《普通高等学校招生体检工作指导意见》及教育部教学厅【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号文件的有关规定。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往届生的录取和应届生一视同仁。录取时无男、女比例限制。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单独招生的录取分别按照新疆能源职业技术学院</w:t>
      </w:r>
      <w:r>
        <w:rPr>
          <w:rFonts w:ascii="Times New Roman" w:eastAsia="Times New Roman" w:hAnsi="Times New Roman" w:cs="Times New Roman"/>
        </w:rPr>
        <w:t>2018</w:t>
      </w:r>
      <w:r>
        <w:rPr>
          <w:rFonts w:ascii="SimSun" w:eastAsia="SimSun" w:hAnsi="SimSun" w:cs="SimSun"/>
        </w:rPr>
        <w:t>年单独招生考试实施方案相关要求执行。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开学报到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按国家招生规定录取的新生，持录取通知书，按学校规定（一周内）到校办理入学手续。因故不能按期入学者，应向学校请假；未请假或者请假逾期者，除因不可抗力等正当事由以外，视为自动放弃入学资格。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学生入学后，学校应当在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复查中发现学生存在弄虚作假、徇私舞弊等情形的，确定为复查不合格，应当取消学籍；情节严重的，学校应当移交有关部门调查处理。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每学期开学时，学生应当按学校规定办理注册手续。不能如期注册的，应当履行暂缓注册手续。未按学校规定缴纳学费或者有其他不符合注册条件的，不予注册。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家庭经济困难的学生可以申请助学贷款或者其他形式资助，办理有关手续后注册。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学校应当按照国家有关规定为家庭经济困难学生提供教育救助，完善学生资助体系，保证学生不因家庭经济困难而放弃学业。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学生在学校规定学习年限内，修完教育教学计划规定内容，成绩合格，达到学校毕业要求的，学校应当准予毕业，并在学生离校前发给毕业证书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经参加相应考试及技能鉴定，可颁发计算机等级证书、英语等级证书及职业资格证书。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学院遵循属地原则，按照新疆维吾尔自治区发展与改革委员会和教育厅共同核定收费标准收费。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退费办法：按自治区相关规定执行。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本章程自公布之日起有效，以往有关招生工作的规定与本章程相冲突时以本章程为准。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本章程由新疆能源职业技术学院招生工作委员会制定，由新疆能源职业技术学院招生工作委员会负责解释。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二〇一八年三月六日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新疆兵团警官高等专科学校招生章程（</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昌吉职业技术学院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52.html" TargetMode="External" /><Relationship Id="rId5" Type="http://schemas.openxmlformats.org/officeDocument/2006/relationships/hyperlink" Target="http://www.gk114.com/a/gxzs/zszc/xinjiang/2019/0303/7054.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