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朔州职业技术学院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为深入实施“阳光工程”，严格招生程序，保证学院全日制普通高职招生工作顺利进行，依据《中华人民共和国教育法》、《中华人民共和国高等教育法》和教育部有关规定，结合学院实际特制定本章程。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学院名称：朔州职业技术学院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学院代码：14186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录取通知书签发人：王茂兴   职务：院长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（一）、学院成立招生工作领导组，全面负责学院全日制普通高职招生工作，审核批准学院年度招生章程，确定招生政策和规则，决定招生重大事项。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（二）、学院纪检监察部门对招生工作进行全程监督，同时接受上级主管部门、考生、家长以及社会各界的监督。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（三）、学院招生部门是组织和实施招生工作的常设机构，具体负责招生章程制定、招生计划编制及招生的日常工作。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人才培养目标、办学条件、往年计划及招生实际、毕业生就业状况等实际，统筹安排，确定学院各类别招生计划编制。学院执行山西省教育厅核准备案的分省（区、市）分专业招生计划，招生计划以省级招生机构公布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（一）、坚持公平竞争、公正选拔、公开透明的原则，按照德智体美全面考核、综合评价、择优录取。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（二）、体检标准执行教育部、卫生部、中国残疾人联合会印发的《普通高等学校招生体检工作指导意见》（简称“意见”）。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（三）、按照省级招生主管部门要求确定投档比例，执行省级教育主管部门、招生考试机构有关加分或降分投档的政策规定。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（四）、外语语种只提供英语教学。煤矿开采技术、矿井通风与安全专业只招收男生，其它专业男女比例不作要求。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按照“学院负责、招办监督”的原则录取，对思想政治品德考核、身体状况符合相关专业培养要求、投档成绩达到专科批录取控制分数线并符合学院调档要求的考生，依据投档次序、专业志愿、高考成绩分类录取，专业志愿之间不设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对文史类和理工类进档考生按照“志愿优先”的原则安排专业。若成绩相同，平行志愿投档考生按照投档位次择优录取；非平行志愿进档考生总成绩相同时理工类考生依次以数学、外语、语文单科成绩的高低顺序录取，文史类考生依次以语文、外语、数学单科成绩的高低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（七）、对艺术类进档考生，按专业成绩择优录取。当专业成绩相同时，以文化成绩高低确定录取。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（八）、对口升学录取严格按照国家和山西省招生考试管理中心的相关录取办法执行。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凡被我院录取的学生，学业期满且成绩合格者，毕业时颁发国家承认并经教育部网上学籍学历电子注册的“朔州职业技术学院”高职毕业证书。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七、招生专业及学费标准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学院严格执行省物价部门批准的收费标准（学费标准均为4000元/年），不收取任何未经物价部门批准的费用。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园艺技术、畜牧兽医、动物医学（宠物疾病防控方向）、煤矿开采技术、发电厂及电力系统、机电一体化技术、风力发电工程技术、光伏发电技术与应用、会计、电子商务、数字媒体应用技术、保险、大数据技术与应用、护理、医学检验技术、医学影像技术、陶瓷制造工艺、家政服务与管理、汽车检测与维修技术、供用电技术、食品生物技术、酒店管理、矿井通风与安全。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w:t>
      </w:r>
      <w:r>
        <w:rPr>
          <w:rFonts w:ascii="Microsoft YaHei" w:eastAsia="Microsoft YaHei" w:hAnsi="Microsoft YaHei" w:cs="Microsoft YaHei"/>
          <w:b/>
          <w:bCs/>
          <w:color w:val="666666"/>
          <w:sz w:val="21"/>
          <w:szCs w:val="21"/>
        </w:rPr>
        <w:t>新生入学时，学院进行入学资格复查。凡发现有问题者，严格按照教育部《普通高等学校学生管理规定》中相关规定执行。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（二）、学校设有奖助学金以及勤工助学以帮助经济困难的学生顺利完成学业，家庭经济困难的学生还可申请生源地助学贷款。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（三）、本章程适用于学院全日制高职招生工作。本章程若有与国家及省级招办有关政策不一致之处，以国家及省级招办有关政策为准。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电话：0349-6660003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传真：0349-6660003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E-mail：sxszvtc@163.com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http://www.szvtc.com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地址：朔州市张辽南路紫金街1号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邮编：036002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0/0703/1734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zvtc.com/" TargetMode="External" /><Relationship Id="rId5" Type="http://schemas.openxmlformats.org/officeDocument/2006/relationships/hyperlink" Target="http://www.gk114.com/a/gxzs/zszc/shanxi/2020/0703/17367.html" TargetMode="External" /><Relationship Id="rId6" Type="http://schemas.openxmlformats.org/officeDocument/2006/relationships/hyperlink" Target="http://www.gk114.com/a/gxzs/zszc/shanxi/2020/0703/17369.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