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桂林电子科技大学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招生工作，保证学校招生工作顺利进行，切实维护学校和考生的合法权益，根据《中华人民共和国教育法》、《中华人民共和国高等教育法》等法律法规和教育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学校全称：桂林电子科技大学，院校代码：</w:t>
      </w:r>
      <w:r>
        <w:rPr>
          <w:rFonts w:ascii="Times New Roman" w:eastAsia="Times New Roman" w:hAnsi="Times New Roman" w:cs="Times New Roman"/>
        </w:rPr>
        <w:t>10595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学校为公办、全日制普通高等学校，是国家工业和信息化部与广西共建高校、国家国防科技工业局与广西共建高校、国家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入选高校、广西重点建设高校，培养包括博士研究生、硕士研究生、本科、高职（专科）在内的各类高级专门人才。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学校现有桂林市花江校区、金鸡岭校区、六合路校区和北海市北海校区。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本章程适用于学校普通高考全日制本科招生工作。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领导小组，明确校党委书记和校长是第一责任人，分管招生工作副校长是直接责任人。招生工作领导小组按照教育部、各省（自治区、直辖市）招生工作政策规定，研究决定学校招生工作重大事项，领导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为学校招生工作常设机构，负责本科招生日常工作，主要职责为：执行有关招生政策，制定招生章程，开展招生宣传，编报分省分专业招生来源计划，组织实施录取工作，协调和处理录取工作中有关问题，组织对新生录取资格进行复查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学校成立招生监督小组，办公室设在学校纪委监察室，负责对招生录取工作进行监督，接受并处理有关举报投诉。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学校招生计划通过各省（自治区、直辖市）招生主管部门、学校招生章程、学校网站等向考生和社会公布，以各省（自治区、直辖市）招生主管部门公布的为准。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学校招生录取工作严格执行教育部、各省（自治区、直辖市）的有关政策规定，坚持公平、公正、公开、择优录取的原则。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学校认可各省（自治区、直辖市）招生主管部门根据教育部有关规定制定的加分政策，但原则上考生加分分值累计不得超过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学校根据各省（自治区、直辖市）生源情况确定调档比例，实行平行志愿投档的省份（批次），调档比例原则上控制在</w:t>
      </w:r>
      <w:r>
        <w:rPr>
          <w:rFonts w:ascii="Times New Roman" w:eastAsia="Times New Roman" w:hAnsi="Times New Roman" w:cs="Times New Roman"/>
        </w:rPr>
        <w:t xml:space="preserve">105% </w:t>
      </w:r>
      <w:r>
        <w:rPr>
          <w:rFonts w:ascii="SimSun" w:eastAsia="SimSun" w:hAnsi="SimSun" w:cs="SimSun"/>
        </w:rPr>
        <w:t>以内；实行非平行志愿投档的省份（批次），调档比例原则上控制在</w:t>
      </w:r>
      <w:r>
        <w:rPr>
          <w:rFonts w:ascii="Times New Roman" w:eastAsia="Times New Roman" w:hAnsi="Times New Roman" w:cs="Times New Roman"/>
        </w:rPr>
        <w:t xml:space="preserve">120% </w:t>
      </w:r>
      <w:r>
        <w:rPr>
          <w:rFonts w:ascii="SimSun" w:eastAsia="SimSun" w:hAnsi="SimSun" w:cs="SimSun"/>
        </w:rPr>
        <w:t>以内。平行志愿的省份（批次），若计划未完成则参加省级招生主管部门统一安排的征集志愿录取；非平行志愿的省份（批次），学校优先录取第一志愿的考生，在第一志愿生源不足的情况下，可接收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非艺术类专业，实行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的原则，按照考生总分（含加分）从高分到低分进行录取，不设专业级差。当考生填报的所有专业志愿均未满足时，服从专业调剂的考生由学校根据录取情况调剂到未录满专业；不服从调剂者，作退档处理。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当考生总分（含加分）出现分数相同的情况时，则按照以下排序规则排出位次从高到低进行录取。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理工科类考生按以下规则排出位次：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总分（总成绩</w:t>
      </w:r>
      <w:r>
        <w:rPr>
          <w:rFonts w:ascii="Times New Roman" w:eastAsia="Times New Roman" w:hAnsi="Times New Roman" w:cs="Times New Roman"/>
        </w:rPr>
        <w:t>+</w:t>
      </w:r>
      <w:r>
        <w:rPr>
          <w:rFonts w:ascii="SimSun" w:eastAsia="SimSun" w:hAnsi="SimSun" w:cs="SimSun"/>
        </w:rPr>
        <w:t>加分分值）</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外语科成绩（不含口试成绩）。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文史科类考生按以下规则排出位次：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总分（总成绩</w:t>
      </w:r>
      <w:r>
        <w:rPr>
          <w:rFonts w:ascii="Times New Roman" w:eastAsia="Times New Roman" w:hAnsi="Times New Roman" w:cs="Times New Roman"/>
        </w:rPr>
        <w:t>+</w:t>
      </w:r>
      <w:r>
        <w:rPr>
          <w:rFonts w:ascii="SimSun" w:eastAsia="SimSun" w:hAnsi="SimSun" w:cs="SimSun"/>
        </w:rPr>
        <w:t>加分分值）</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外语科成绩（不含口试成绩）。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按照内蒙古自治区教育招生考试中心有关文件规定，学校在内蒙古自治区实行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艺术类专业考生按综合分从高到低顺序录取。综合分＝艺术分</w:t>
      </w:r>
      <w:r>
        <w:rPr>
          <w:rFonts w:ascii="Times New Roman" w:eastAsia="Times New Roman" w:hAnsi="Times New Roman" w:cs="Times New Roman"/>
        </w:rPr>
        <w:t>(</w:t>
      </w:r>
      <w:r>
        <w:rPr>
          <w:rFonts w:ascii="SimSun" w:eastAsia="SimSun" w:hAnsi="SimSun" w:cs="SimSun"/>
        </w:rPr>
        <w:t>按比例折合成百分制</w:t>
      </w:r>
      <w:r>
        <w:rPr>
          <w:rFonts w:ascii="Times New Roman" w:eastAsia="Times New Roman" w:hAnsi="Times New Roman" w:cs="Times New Roman"/>
        </w:rPr>
        <w:t>)×60%</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按比例折合成百分制</w:t>
      </w:r>
      <w:r>
        <w:rPr>
          <w:rFonts w:ascii="Times New Roman" w:eastAsia="Times New Roman" w:hAnsi="Times New Roman" w:cs="Times New Roman"/>
        </w:rPr>
        <w:t>)×40%</w:t>
      </w:r>
      <w:r>
        <w:rPr>
          <w:rFonts w:ascii="SimSun" w:eastAsia="SimSun" w:hAnsi="SimSun" w:cs="SimSun"/>
        </w:rPr>
        <w:t>）。若出现综合分相同的情况，则按艺术分从高到低顺序录取；若艺术分相同，则按文化分从高到低顺序录取（参照第十四条）。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报考学校艺术类专业的考生要求无色盲。报考学校表演专业的考生要求男生身高不低于</w:t>
      </w:r>
      <w:r>
        <w:rPr>
          <w:rFonts w:ascii="Times New Roman" w:eastAsia="Times New Roman" w:hAnsi="Times New Roman" w:cs="Times New Roman"/>
        </w:rPr>
        <w:t>184CM</w:t>
      </w:r>
      <w:r>
        <w:rPr>
          <w:rFonts w:ascii="SimSun" w:eastAsia="SimSun" w:hAnsi="SimSun" w:cs="SimSun"/>
        </w:rPr>
        <w:t>，女生身高不低于</w:t>
      </w:r>
      <w:r>
        <w:rPr>
          <w:rFonts w:ascii="Times New Roman" w:eastAsia="Times New Roman" w:hAnsi="Times New Roman" w:cs="Times New Roman"/>
        </w:rPr>
        <w:t>174CM</w:t>
      </w:r>
      <w:r>
        <w:rPr>
          <w:rFonts w:ascii="SimSun" w:eastAsia="SimSun" w:hAnsi="SimSun" w:cs="SimSun"/>
        </w:rPr>
        <w:t>，男生体重不超过</w:t>
      </w:r>
      <w:r>
        <w:rPr>
          <w:rFonts w:ascii="Times New Roman" w:eastAsia="Times New Roman" w:hAnsi="Times New Roman" w:cs="Times New Roman"/>
        </w:rPr>
        <w:t>80KG</w:t>
      </w:r>
      <w:r>
        <w:rPr>
          <w:rFonts w:ascii="SimSun" w:eastAsia="SimSun" w:hAnsi="SimSun" w:cs="SimSun"/>
        </w:rPr>
        <w:t>，女生体重不超过</w:t>
      </w:r>
      <w:r>
        <w:rPr>
          <w:rFonts w:ascii="Times New Roman" w:eastAsia="Times New Roman" w:hAnsi="Times New Roman" w:cs="Times New Roman"/>
        </w:rPr>
        <w:t>65KG</w:t>
      </w:r>
      <w:r>
        <w:rPr>
          <w:rFonts w:ascii="SimSun" w:eastAsia="SimSun" w:hAnsi="SimSun" w:cs="SimSun"/>
        </w:rPr>
        <w:t>，身体无明显疤痕、无纹身、无</w:t>
      </w:r>
      <w:r>
        <w:rPr>
          <w:rFonts w:ascii="Times New Roman" w:eastAsia="Times New Roman" w:hAnsi="Times New Roman" w:cs="Times New Roman"/>
        </w:rPr>
        <w:t>O/X</w:t>
      </w:r>
      <w:r>
        <w:rPr>
          <w:rFonts w:ascii="SimSun" w:eastAsia="SimSun" w:hAnsi="SimSun" w:cs="SimSun"/>
        </w:rPr>
        <w:t>腿型。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在高考综合改革试点省（自治区、直辖市）按其高考改革方案相关规定进行投档录取。考生的选考科目须符合学校要求。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报考学校高水平运动队、少数民族预科班、边防军人子女预科班等类型的考生，按国家有关文件和学校的相应规定投档录取。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学校各专业外语教学中，主要采用英语教学（外国语言文学类专业除外），建议非英语语种考生在报考时慎重选择。报考英语专业的考生统考外语语种限定为英语。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学校按大类招生的专业，学生入学</w:t>
      </w:r>
      <w:r>
        <w:rPr>
          <w:rFonts w:ascii="Times New Roman" w:eastAsia="Times New Roman" w:hAnsi="Times New Roman" w:cs="Times New Roman"/>
        </w:rPr>
        <w:t>1</w:t>
      </w:r>
      <w:r>
        <w:rPr>
          <w:rFonts w:ascii="SimSun" w:eastAsia="SimSun" w:hAnsi="SimSun" w:cs="SimSun"/>
        </w:rPr>
        <w:t>年或</w:t>
      </w:r>
      <w:r>
        <w:rPr>
          <w:rFonts w:ascii="Times New Roman" w:eastAsia="Times New Roman" w:hAnsi="Times New Roman" w:cs="Times New Roman"/>
        </w:rPr>
        <w:t>1.5</w:t>
      </w:r>
      <w:r>
        <w:rPr>
          <w:rFonts w:ascii="SimSun" w:eastAsia="SimSun" w:hAnsi="SimSun" w:cs="SimSun"/>
        </w:rPr>
        <w:t>年后，根据学校相关规定在专业大类内确定专业。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各专业录取时对考生性别、应往届均无限制。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录取体检标准按教育部和卫生部、中国残疾人联合会颁布的《普通高等学校招生体检工作指导意见》（教学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录取结果由各省（自治区、直辖市）招生主管部门统一公布。学校的录取结果通过考生所在省级招生主管部门审核后，将在学校招生信息网和招生办公众号上提供查询。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入学与录取资格复查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被学校录取的新生，应在学校规定的时间到校办理报到等手续。不能按时报到的新生，应向学校提出书面申请，经同意方可延期报到。对未经学校同意逾期不报到的新生，视为自行放弃入学资格。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新生入学三个月内，学校将根据教育部有关规定进行新生录取资格复查，凡不符合录取要求或弄虚作假者，取消入学资格，并通报给所在省招生主管部门和中学，按照有关规定处理。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入学报到后，艺术类专业、高水平运动队等特殊类型录取的新生，应参加专业复测，复测不合格者取消入学资格；重点高校招收农村学生专项计划录取的新生，复查报考资格，复查不合格者取消入学资格。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在校期间，一经发现并查实在高考报名、考试、录取等环节中弄虚作假者，学校将依据国家相关法律法规进行处理。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普通本科专业按学分收费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新生报到时，艺术类专业预收</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学年，其他专业预收</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应用型本科专业：物流管理专业</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与印度国家信息技术学院</w:t>
      </w:r>
      <w:r>
        <w:rPr>
          <w:rFonts w:ascii="Times New Roman" w:eastAsia="Times New Roman" w:hAnsi="Times New Roman" w:cs="Times New Roman"/>
        </w:rPr>
        <w:t>(NIIT)</w:t>
      </w:r>
      <w:r>
        <w:rPr>
          <w:rFonts w:ascii="SimSun" w:eastAsia="SimSun" w:hAnsi="SimSun" w:cs="SimSun"/>
        </w:rPr>
        <w:t>合作办学项目：网络工程专业</w:t>
      </w:r>
      <w:r>
        <w:rPr>
          <w:rFonts w:ascii="Times New Roman" w:eastAsia="Times New Roman" w:hAnsi="Times New Roman" w:cs="Times New Roman"/>
        </w:rPr>
        <w:t>12500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边防军人子女预科班预科期间按学年收费：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学年，升入普通本科专业后按普通本科专业学费标准收费。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少数民族预科班预科期间按所在培养学校规定的学费标准收费，升入普通本科专业后按普通本科专业学费标准收费。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桂林校区：学生宿舍分四人间、六人间、八人间和十人间，住宿费</w:t>
      </w:r>
      <w:r>
        <w:rPr>
          <w:rFonts w:ascii="Times New Roman" w:eastAsia="Times New Roman" w:hAnsi="Times New Roman" w:cs="Times New Roman"/>
        </w:rPr>
        <w:t>500—1550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北海校区：学生宿舍为八人间，住宿费</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以上各项收费最终以自治区发改委批复的标准为准。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有多种奖学金，对品学兼优的学生予以奖励。学校贯彻国家资助政策，为家庭经济困难学生办理国家助学贷款业务，并提供国家奖助学金、学费减免、勤工助学等、临时困难补助等多种资助办法，帮助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针对学校全日制本科招生，学校面向社会开通招生咨询服务。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0773-2290010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zhaosheng@guet.edu.cn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www.guet.edu.cn/zs/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通信地址：广西桂林市金鸡路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541004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学校招生工作人员严格执行国家各项招生政策，遵守招生纪律，杜绝一切徇私舞弊行为，并接受社会监督。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举报邮箱：</w:t>
      </w:r>
      <w:r>
        <w:rPr>
          <w:rFonts w:ascii="Times New Roman" w:eastAsia="Times New Roman" w:hAnsi="Times New Roman" w:cs="Times New Roman"/>
        </w:rPr>
        <w:t xml:space="preserve">jub@guet.edu.cn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学校艺术类、高水平运动队、</w:t>
      </w:r>
      <w:r>
        <w:rPr>
          <w:rFonts w:ascii="Times New Roman" w:eastAsia="Times New Roman" w:hAnsi="Times New Roman" w:cs="Times New Roman"/>
        </w:rPr>
        <w:t>NIIT</w:t>
      </w:r>
      <w:r>
        <w:rPr>
          <w:rFonts w:ascii="SimSun" w:eastAsia="SimSun" w:hAnsi="SimSun" w:cs="SimSun"/>
        </w:rPr>
        <w:t>项目、第二学士学位、普通专升本等类型招生简章请登录学校招生信息网查询。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学校没有委托任何中介机构或个人进行招生录取工作，不收取与招生录取挂钩的任何费用。对以学校名义进行非法招生宣传等活动的中介机构或个人，学校将依法追究其责任。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本章程公布后，若与教育部和有关省（自治区、直辖市）的相关规定不一致，最终以教育部和有关省（自治区、直辖市）的相关规定为准。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本章程由桂林电子科技大学招生办公室负责解释。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潍坊科技学召开</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届毕业生就业工作会议</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6/17374.html" TargetMode="External" /><Relationship Id="rId11" Type="http://schemas.openxmlformats.org/officeDocument/2006/relationships/hyperlink" Target="http://www.gk114.com/a/gxzs/zszc/guangxi/2020/0702/17283.html" TargetMode="External" /><Relationship Id="rId12" Type="http://schemas.openxmlformats.org/officeDocument/2006/relationships/hyperlink" Target="http://www.gk114.com/a/gxzs/zszc/guangxi/2020/0702/17279.html" TargetMode="External" /><Relationship Id="rId13" Type="http://schemas.openxmlformats.org/officeDocument/2006/relationships/hyperlink" Target="http://www.gk114.com/a/gxzs/zszc/guangxi/2020/0702/17278.html" TargetMode="External" /><Relationship Id="rId14" Type="http://schemas.openxmlformats.org/officeDocument/2006/relationships/hyperlink" Target="http://www.gk114.com/a/gxzs/zszc/guangxi/2021/0614/1992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3/0513/27546.html" TargetMode="External" /><Relationship Id="rId5" Type="http://schemas.openxmlformats.org/officeDocument/2006/relationships/hyperlink" Target="http://www.gk114.com/a/gxzs/zszc/guangxi/2023/0513/2754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1/0605/19717.html" TargetMode="External" /><Relationship Id="rId8" Type="http://schemas.openxmlformats.org/officeDocument/2006/relationships/hyperlink" Target="http://www.gk114.com/a/gxzs/zszc/guangxi/2021/0603/19704.html" TargetMode="External" /><Relationship Id="rId9" Type="http://schemas.openxmlformats.org/officeDocument/2006/relationships/hyperlink" Target="http://www.gk114.com/a/gxzs/zszc/guangxi/2020/0726/175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