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为保证学校招生工作顺利进行，规范招生行为，维护广大考生的合法权益，根据《中华人民共和国教育法》、《中华人民共和国高等教育法》和教育部、贵州省教育厅招生工作的相关规定，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第二条本章程适用于毕节工业职业技术学院</w:t>
      </w:r>
      <w:r>
        <w:rPr>
          <w:rFonts w:ascii="Times New Roman" w:eastAsia="Times New Roman" w:hAnsi="Times New Roman" w:cs="Times New Roman"/>
        </w:rPr>
        <w:t>2019</w:t>
      </w:r>
      <w:r>
        <w:rPr>
          <w:rFonts w:ascii="SimSun" w:eastAsia="SimSun" w:hAnsi="SimSun" w:cs="SimSun"/>
        </w:rPr>
        <w:t>年高职（专科）招生工作。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第三条学校主管单位：毕节市人民政府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毕节工业职业技术学院位于毕节市金海湖新区职教城，毗邻金海湖湿地公园，于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月经贵州省人民政府批准建立，国家教育部备案，学校标识码</w:t>
      </w:r>
      <w:r>
        <w:rPr>
          <w:rFonts w:ascii="Times New Roman" w:eastAsia="Times New Roman" w:hAnsi="Times New Roman" w:cs="Times New Roman"/>
        </w:rPr>
        <w:t>4152014648</w:t>
      </w:r>
      <w:r>
        <w:rPr>
          <w:rFonts w:ascii="SimSun" w:eastAsia="SimSun" w:hAnsi="SimSun" w:cs="SimSun"/>
        </w:rPr>
        <w:t>。学院是由毕节市人民政府主管，省教育厅会同有关部门进行业务指导的一所全日制公办高等职业院校，学科门类以工科为主，在校生规模为</w:t>
      </w:r>
      <w:r>
        <w:rPr>
          <w:rFonts w:ascii="Times New Roman" w:eastAsia="Times New Roman" w:hAnsi="Times New Roman" w:cs="Times New Roman"/>
        </w:rPr>
        <w:t>6000</w:t>
      </w:r>
      <w:r>
        <w:rPr>
          <w:rFonts w:ascii="SimSun" w:eastAsia="SimSun" w:hAnsi="SimSun" w:cs="SimSun"/>
        </w:rPr>
        <w:t>人。学院占地面积</w:t>
      </w:r>
      <w:r>
        <w:rPr>
          <w:rFonts w:ascii="Times New Roman" w:eastAsia="Times New Roman" w:hAnsi="Times New Roman" w:cs="Times New Roman"/>
        </w:rPr>
        <w:t>452</w:t>
      </w:r>
      <w:r>
        <w:rPr>
          <w:rFonts w:ascii="SimSun" w:eastAsia="SimSun" w:hAnsi="SimSun" w:cs="SimSun"/>
        </w:rPr>
        <w:t>亩，一期已完成建筑面积</w:t>
      </w:r>
      <w:r>
        <w:rPr>
          <w:rFonts w:ascii="Times New Roman" w:eastAsia="Times New Roman" w:hAnsi="Times New Roman" w:cs="Times New Roman"/>
        </w:rPr>
        <w:t>12.5</w:t>
      </w:r>
      <w:r>
        <w:rPr>
          <w:rFonts w:ascii="SimSun" w:eastAsia="SimSun" w:hAnsi="SimSun" w:cs="SimSun"/>
        </w:rPr>
        <w:t>万平方米，其中教学、实训、行政办公、会议、体育馆用房</w:t>
      </w:r>
      <w:r>
        <w:rPr>
          <w:rFonts w:ascii="Times New Roman" w:eastAsia="Times New Roman" w:hAnsi="Times New Roman" w:cs="Times New Roman"/>
        </w:rPr>
        <w:t>7.18</w:t>
      </w:r>
      <w:r>
        <w:rPr>
          <w:rFonts w:ascii="SimSun" w:eastAsia="SimSun" w:hAnsi="SimSun" w:cs="SimSun"/>
        </w:rPr>
        <w:t>万平方米。在建二期工程建筑面积</w:t>
      </w:r>
      <w:r>
        <w:rPr>
          <w:rFonts w:ascii="Times New Roman" w:eastAsia="Times New Roman" w:hAnsi="Times New Roman" w:cs="Times New Roman"/>
        </w:rPr>
        <w:t>7.3</w:t>
      </w:r>
      <w:r>
        <w:rPr>
          <w:rFonts w:ascii="SimSun" w:eastAsia="SimSun" w:hAnsi="SimSun" w:cs="SimSun"/>
        </w:rPr>
        <w:t>万平方米。学院师资力量雄厚，现有教职工</w:t>
      </w:r>
      <w:r>
        <w:rPr>
          <w:rFonts w:ascii="Times New Roman" w:eastAsia="Times New Roman" w:hAnsi="Times New Roman" w:cs="Times New Roman"/>
        </w:rPr>
        <w:t>232</w:t>
      </w:r>
      <w:r>
        <w:rPr>
          <w:rFonts w:ascii="SimSun" w:eastAsia="SimSun" w:hAnsi="SimSun" w:cs="SimSun"/>
        </w:rPr>
        <w:t>人，专任教师本科以上学历</w:t>
      </w:r>
      <w:r>
        <w:rPr>
          <w:rFonts w:ascii="Times New Roman" w:eastAsia="Times New Roman" w:hAnsi="Times New Roman" w:cs="Times New Roman"/>
        </w:rPr>
        <w:t>185</w:t>
      </w:r>
      <w:r>
        <w:rPr>
          <w:rFonts w:ascii="SimSun" w:eastAsia="SimSun" w:hAnsi="SimSun" w:cs="SimSun"/>
        </w:rPr>
        <w:t>人，其中研究生以上学历</w:t>
      </w:r>
      <w:r>
        <w:rPr>
          <w:rFonts w:ascii="Times New Roman" w:eastAsia="Times New Roman" w:hAnsi="Times New Roman" w:cs="Times New Roman"/>
        </w:rPr>
        <w:t>50</w:t>
      </w:r>
      <w:r>
        <w:rPr>
          <w:rFonts w:ascii="SimSun" w:eastAsia="SimSun" w:hAnsi="SimSun" w:cs="SimSun"/>
        </w:rPr>
        <w:t>人，正高级职称</w:t>
      </w:r>
      <w:r>
        <w:rPr>
          <w:rFonts w:ascii="Times New Roman" w:eastAsia="Times New Roman" w:hAnsi="Times New Roman" w:cs="Times New Roman"/>
        </w:rPr>
        <w:t>5</w:t>
      </w:r>
      <w:r>
        <w:rPr>
          <w:rFonts w:ascii="SimSun" w:eastAsia="SimSun" w:hAnsi="SimSun" w:cs="SimSun"/>
        </w:rPr>
        <w:t>人，高级职称</w:t>
      </w:r>
      <w:r>
        <w:rPr>
          <w:rFonts w:ascii="Times New Roman" w:eastAsia="Times New Roman" w:hAnsi="Times New Roman" w:cs="Times New Roman"/>
        </w:rPr>
        <w:t>59</w:t>
      </w:r>
      <w:r>
        <w:rPr>
          <w:rFonts w:ascii="SimSun" w:eastAsia="SimSun" w:hAnsi="SimSun" w:cs="SimSun"/>
        </w:rPr>
        <w:t>人，双师型教师</w:t>
      </w:r>
      <w:r>
        <w:rPr>
          <w:rFonts w:ascii="Times New Roman" w:eastAsia="Times New Roman" w:hAnsi="Times New Roman" w:cs="Times New Roman"/>
        </w:rPr>
        <w:t>65</w:t>
      </w:r>
      <w:r>
        <w:rPr>
          <w:rFonts w:ascii="SimSun" w:eastAsia="SimSun" w:hAnsi="SimSun" w:cs="SimSun"/>
        </w:rPr>
        <w:t>人。学院校园环境优美，生活设施完善，文体场馆健全，现拥有</w:t>
      </w:r>
      <w:r>
        <w:rPr>
          <w:rFonts w:ascii="Times New Roman" w:eastAsia="Times New Roman" w:hAnsi="Times New Roman" w:cs="Times New Roman"/>
        </w:rPr>
        <w:t>5</w:t>
      </w:r>
      <w:r>
        <w:rPr>
          <w:rFonts w:ascii="SimSun" w:eastAsia="SimSun" w:hAnsi="SimSun" w:cs="SimSun"/>
        </w:rPr>
        <w:t>个校内专业实训基地，配备了与专业相适应的实习实训设施，为学生的学习和生活提供了优质的环境和条件。学院下设五个系部。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第四条院校全称：毕节工业职业技术学院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学校国标代码：</w:t>
      </w:r>
      <w:r>
        <w:rPr>
          <w:rFonts w:ascii="Times New Roman" w:eastAsia="Times New Roman" w:hAnsi="Times New Roman" w:cs="Times New Roman"/>
        </w:rPr>
        <w:t xml:space="preserve">4152014648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学校地址：毕节市金海湖新区职教城毕节工业职业技术学院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551700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在各省级招生委员会的统一领导下，学校成立由院长任组长的招生工作领导小组，全面负责贯彻执行教育部和相关省（市、区）招生主管部门的招生工作政策，讨论和决定学校招生工作的重大事宜，研究制定学校招生实施细则，指导和监督招生工作的具体实施。毕节工业职业技术学院招生就业处是学校组织实施招生就业工作的常设机构，具体负责学校招生与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第六条学校设立由学校领导和纪检监察部门组成的招生监督小组，对招生工作实施全程监督。成立招生录取信访工作站，安排专人负责考生的信访、申诉、投诉处理工作。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请参照《贵州省</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第七条严格执行教育部及省教育厅批准的招生计划，分专业招生计划均以各省公布的专业目录为准。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第八条招生录取工作在贵州省和相关省（区、市）招生委员会统一组织下进行，执行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的录取体制，在录取过程中坚持公平、公正、公开、择优录取的原则。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第九条我校根据各省（区）、市生源情况确定调档比例，调档比例原则控制在招生计划的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第十条我校严格执行国家规定的加分、降分政策，对享受加分政策的考生，按各省（自治区、直辖市）招办有关加分、降分的政策或管理办法执行，并作为录取和安排专业的成绩依据。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第十一条考生的体检按照《普通高等学校招生体检工作指导意见》及有关补充规定执行。新生入学后学校进行体检复查，不符合体检要求者，按省级招生文件规定及学校有关规定处理。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第十二条对进档考生的专业安排按照</w:t>
      </w:r>
      <w:r>
        <w:rPr>
          <w:rFonts w:ascii="Times New Roman" w:eastAsia="Times New Roman" w:hAnsi="Times New Roman" w:cs="Times New Roman"/>
        </w:rPr>
        <w:t>“</w:t>
      </w:r>
      <w:r>
        <w:rPr>
          <w:rFonts w:ascii="SimSun" w:eastAsia="SimSun" w:hAnsi="SimSun" w:cs="SimSun"/>
        </w:rPr>
        <w:t>分数（位次）优先，遵循志愿</w:t>
      </w:r>
      <w:r>
        <w:rPr>
          <w:rFonts w:ascii="Times New Roman" w:eastAsia="Times New Roman" w:hAnsi="Times New Roman" w:cs="Times New Roman"/>
        </w:rPr>
        <w:t>”</w:t>
      </w:r>
      <w:r>
        <w:rPr>
          <w:rFonts w:ascii="SimSun" w:eastAsia="SimSun" w:hAnsi="SimSun" w:cs="SimSun"/>
        </w:rPr>
        <w:t>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第十三条我院的报考语种一律为英语。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我校录取专业文理均可报读，专业无男女比例限制。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第十四条录取过程接受社会或有关纪检监察部门的监督，录取结果由各级招生主管部门和学校招生网站面向社会公布。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第十五条新生入学后，学校按照国家招生规定对其进行资格复查。复查合格者予以注册学籍，复查不合格者，由学校根据相关规定予以处理，直至取消入学资格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收费标准及助学措施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第十六条我院严格按照省有关部门批准的学费、住宿费等收费项目及标准执行。收取学费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760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年，书本费据实结算。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第十七条学校有完善的</w:t>
      </w:r>
      <w:r>
        <w:rPr>
          <w:rFonts w:ascii="Times New Roman" w:eastAsia="Times New Roman" w:hAnsi="Times New Roman" w:cs="Times New Roman"/>
        </w:rPr>
        <w:t>“</w:t>
      </w:r>
      <w:r>
        <w:rPr>
          <w:rFonts w:ascii="SimSun" w:eastAsia="SimSun" w:hAnsi="SimSun" w:cs="SimSun"/>
        </w:rPr>
        <w:t>奖、贷、勤、减、免、补</w:t>
      </w:r>
      <w:r>
        <w:rPr>
          <w:rFonts w:ascii="Times New Roman" w:eastAsia="Times New Roman" w:hAnsi="Times New Roman" w:cs="Times New Roman"/>
        </w:rPr>
        <w:t>”</w:t>
      </w:r>
      <w:r>
        <w:rPr>
          <w:rFonts w:ascii="SimSun" w:eastAsia="SimSun" w:hAnsi="SimSun" w:cs="SimSun"/>
        </w:rPr>
        <w:t>学生资助体系，开通家庭经济困难新生入学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。按照国家和省的有关政策规定，品学兼优的学生可申请国家奖学金（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元），经济困难的学生可申请国家助学贷款和国家助学金（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元）；同时，学院按照省的相关规定，从学院事业收入中提取不低于</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的资金，用于学生资助。项目包括：校内奖学金和助学金、勤工助学、特殊困难补助，困难学生学费减免等。确保每一位家庭经济困难学生能够顺利完成学业。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第七章</w:t>
      </w:r>
      <w:r>
        <w:rPr>
          <w:rFonts w:ascii="Times New Roman" w:eastAsia="Times New Roman" w:hAnsi="Times New Roman" w:cs="Times New Roman"/>
        </w:rPr>
        <w:t xml:space="preserve">  </w:t>
      </w:r>
      <w:r>
        <w:rPr>
          <w:rFonts w:ascii="SimSun" w:eastAsia="SimSun" w:hAnsi="SimSun" w:cs="SimSun"/>
        </w:rPr>
        <w:t>学历证书和职业技能等级证书颁发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学生在规定的年限内，修完教学计划规定的内容，达到毕业要求的，发给国家承认学历的、经教育部电子注册的毕节工业职业技术学院毕业证书，并以此具印；学生通过职业技能培训和鉴定的，颁发国家承认的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第十九条学生毕业后按照国家和地方政府就业指导政策以及就业市场的需求状况自主择业。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第九章、录取通知书发放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第二十条高考录取全部结束后，学校根据贵州省招生考试院核准备案的录取考生名单填写录取通知书，加盖毕节工业职业技术学院招生录取专用印章，经邮政特快专递寄送到录取考生预留接收通知书通讯地址。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第二十二条本章程由毕节工业职业技术学院招生就业处负责解释。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毕节工业职业技术学院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贵州航空职业技术学院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74.html" TargetMode="External" /><Relationship Id="rId5" Type="http://schemas.openxmlformats.org/officeDocument/2006/relationships/hyperlink" Target="http://www.gk114.com/a/gxzs/zszc/guizhou/2019/0612/977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