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沈阳工程学院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一、学校自然情况说明</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1.高校名称（全称）：沈阳工程学院</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2.办学地点及校址：沈阳市沈北新区蒲昌路18号</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3.办学类型：公办普通高等学校</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4.办学层次：本科、高职专科</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5.办学形式：全日制</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6.主要办学条件：校园占地面积</w:t>
      </w:r>
      <w:r>
        <w:rPr>
          <w:rFonts w:ascii="FangSong" w:eastAsia="FangSong" w:hAnsi="FangSong" w:cs="FangSong"/>
          <w:color w:val="666666"/>
          <w:sz w:val="32"/>
          <w:szCs w:val="32"/>
        </w:rPr>
        <w:t>82.</w:t>
      </w:r>
      <w:r>
        <w:rPr>
          <w:rFonts w:ascii="FangSong" w:eastAsia="FangSong" w:hAnsi="FangSong" w:cs="FangSong"/>
          <w:color w:val="666666"/>
          <w:sz w:val="32"/>
          <w:szCs w:val="32"/>
        </w:rPr>
        <w:t>7万平方米（约合</w:t>
      </w:r>
      <w:r>
        <w:rPr>
          <w:rFonts w:ascii="FangSong" w:eastAsia="FangSong" w:hAnsi="FangSong" w:cs="FangSong"/>
          <w:color w:val="666666"/>
          <w:sz w:val="32"/>
          <w:szCs w:val="32"/>
        </w:rPr>
        <w:t>12</w:t>
      </w:r>
      <w:r>
        <w:rPr>
          <w:rFonts w:ascii="FangSong" w:eastAsia="FangSong" w:hAnsi="FangSong" w:cs="FangSong"/>
          <w:color w:val="666666"/>
          <w:sz w:val="32"/>
          <w:szCs w:val="32"/>
        </w:rPr>
        <w:t>39亩）；生均教学行政用房面积</w:t>
      </w:r>
      <w:r>
        <w:rPr>
          <w:rFonts w:ascii="FangSong" w:eastAsia="FangSong" w:hAnsi="FangSong" w:cs="FangSong"/>
          <w:color w:val="666666"/>
          <w:sz w:val="32"/>
          <w:szCs w:val="32"/>
        </w:rPr>
        <w:t>16.</w:t>
      </w:r>
      <w:r>
        <w:rPr>
          <w:rFonts w:ascii="FangSong" w:eastAsia="FangSong" w:hAnsi="FangSong" w:cs="FangSong"/>
          <w:color w:val="666666"/>
          <w:sz w:val="32"/>
          <w:szCs w:val="32"/>
        </w:rPr>
        <w:t>7平方米；生均宿舍面积8.1平方米；生师比</w:t>
      </w:r>
      <w:r>
        <w:rPr>
          <w:rFonts w:ascii="FangSong" w:eastAsia="FangSong" w:hAnsi="FangSong" w:cs="FangSong"/>
          <w:color w:val="666666"/>
          <w:sz w:val="32"/>
          <w:szCs w:val="32"/>
        </w:rPr>
        <w:t>17.</w:t>
      </w:r>
      <w:r>
        <w:rPr>
          <w:rFonts w:ascii="FangSong" w:eastAsia="FangSong" w:hAnsi="FangSong" w:cs="FangSong"/>
          <w:color w:val="666666"/>
          <w:sz w:val="32"/>
          <w:szCs w:val="32"/>
        </w:rPr>
        <w:t>2；专任教师</w:t>
      </w:r>
      <w:r>
        <w:rPr>
          <w:rFonts w:ascii="FangSong" w:eastAsia="FangSong" w:hAnsi="FangSong" w:cs="FangSong"/>
          <w:color w:val="666666"/>
          <w:sz w:val="32"/>
          <w:szCs w:val="32"/>
        </w:rPr>
        <w:t>64</w:t>
      </w:r>
      <w:r>
        <w:rPr>
          <w:rFonts w:ascii="FangSong" w:eastAsia="FangSong" w:hAnsi="FangSong" w:cs="FangSong"/>
          <w:color w:val="666666"/>
          <w:sz w:val="32"/>
          <w:szCs w:val="32"/>
        </w:rPr>
        <w:t>9人，其中具有副高级职务教师占专任教师的比例为</w:t>
      </w:r>
      <w:r>
        <w:rPr>
          <w:rFonts w:ascii="FangSong" w:eastAsia="FangSong" w:hAnsi="FangSong" w:cs="FangSong"/>
          <w:color w:val="666666"/>
          <w:sz w:val="32"/>
          <w:szCs w:val="32"/>
        </w:rPr>
        <w:t>41.6%</w:t>
      </w:r>
      <w:r>
        <w:rPr>
          <w:rFonts w:ascii="FangSong" w:eastAsia="FangSong" w:hAnsi="FangSong" w:cs="FangSong"/>
          <w:color w:val="666666"/>
          <w:sz w:val="32"/>
          <w:szCs w:val="32"/>
        </w:rPr>
        <w:t>，具有研究生学位教师占专任教师的比例为</w:t>
      </w:r>
      <w:r>
        <w:rPr>
          <w:rFonts w:ascii="FangSong" w:eastAsia="FangSong" w:hAnsi="FangSong" w:cs="FangSong"/>
          <w:color w:val="666666"/>
          <w:sz w:val="32"/>
          <w:szCs w:val="32"/>
        </w:rPr>
        <w:t>85.8%</w:t>
      </w:r>
      <w:r>
        <w:rPr>
          <w:rFonts w:ascii="FangSong" w:eastAsia="FangSong" w:hAnsi="FangSong" w:cs="FangSong"/>
          <w:color w:val="666666"/>
          <w:sz w:val="32"/>
          <w:szCs w:val="32"/>
        </w:rPr>
        <w:t>；教学科研仪器设备总值</w:t>
      </w:r>
      <w:r>
        <w:rPr>
          <w:rFonts w:ascii="FangSong" w:eastAsia="FangSong" w:hAnsi="FangSong" w:cs="FangSong"/>
          <w:color w:val="666666"/>
          <w:sz w:val="32"/>
          <w:szCs w:val="32"/>
        </w:rPr>
        <w:t>1</w:t>
      </w:r>
      <w:r>
        <w:rPr>
          <w:rFonts w:ascii="FangSong" w:eastAsia="FangSong" w:hAnsi="FangSong" w:cs="FangSong"/>
          <w:color w:val="666666"/>
          <w:sz w:val="32"/>
          <w:szCs w:val="32"/>
        </w:rPr>
        <w:t>7785</w:t>
      </w:r>
      <w:r>
        <w:rPr>
          <w:rFonts w:ascii="FangSong" w:eastAsia="FangSong" w:hAnsi="FangSong" w:cs="FangSong"/>
          <w:color w:val="666666"/>
          <w:sz w:val="32"/>
          <w:szCs w:val="32"/>
        </w:rPr>
        <w:t>.7</w:t>
      </w:r>
      <w:r>
        <w:rPr>
          <w:rFonts w:ascii="FangSong" w:eastAsia="FangSong" w:hAnsi="FangSong" w:cs="FangSong"/>
          <w:color w:val="666666"/>
          <w:sz w:val="32"/>
          <w:szCs w:val="32"/>
        </w:rPr>
        <w:t>万元，生均教学科研仪器设备值</w:t>
      </w:r>
      <w:r>
        <w:rPr>
          <w:rFonts w:ascii="FangSong" w:eastAsia="FangSong" w:hAnsi="FangSong" w:cs="FangSong"/>
          <w:color w:val="666666"/>
          <w:sz w:val="32"/>
          <w:szCs w:val="32"/>
        </w:rPr>
        <w:t>14</w:t>
      </w:r>
      <w:r>
        <w:rPr>
          <w:rFonts w:ascii="FangSong" w:eastAsia="FangSong" w:hAnsi="FangSong" w:cs="FangSong"/>
          <w:color w:val="666666"/>
          <w:sz w:val="32"/>
          <w:szCs w:val="32"/>
        </w:rPr>
        <w:t>890元；图书</w:t>
      </w:r>
      <w:r>
        <w:rPr>
          <w:rFonts w:ascii="FangSong" w:eastAsia="FangSong" w:hAnsi="FangSong" w:cs="FangSong"/>
          <w:color w:val="666666"/>
          <w:sz w:val="32"/>
          <w:szCs w:val="32"/>
        </w:rPr>
        <w:t>77.5</w:t>
      </w:r>
      <w:r>
        <w:rPr>
          <w:rFonts w:ascii="FangSong" w:eastAsia="FangSong" w:hAnsi="FangSong" w:cs="FangSong"/>
          <w:color w:val="666666"/>
          <w:sz w:val="32"/>
          <w:szCs w:val="32"/>
        </w:rPr>
        <w:t>万册，生均图书</w:t>
      </w:r>
      <w:r>
        <w:rPr>
          <w:rFonts w:ascii="FangSong" w:eastAsia="FangSong" w:hAnsi="FangSong" w:cs="FangSong"/>
          <w:color w:val="666666"/>
          <w:sz w:val="32"/>
          <w:szCs w:val="32"/>
        </w:rPr>
        <w:t>6</w:t>
      </w:r>
      <w:r>
        <w:rPr>
          <w:rFonts w:ascii="FangSong" w:eastAsia="FangSong" w:hAnsi="FangSong" w:cs="FangSong"/>
          <w:color w:val="666666"/>
          <w:sz w:val="32"/>
          <w:szCs w:val="32"/>
        </w:rPr>
        <w:t>4.9册。</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二、计划特别说明</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1.招生计划分配原则和办法：</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沈阳工程学院根据本校人才培养目标、办学条件等实际情况，统筹考虑各省（区、市）考生人数、生源质量、区域协调发展及重点支持政策、历年计划安排等因素，经学校研究确定各专业的培养规模和分省招生计划。</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以下专业根据专业教学要求，入校后外语课程只安排英语教学，非英语语种考生不宜就读：</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本科专业：电气工程及其自动化（中澳合作办学）、能源与动力工程（国际本科学术互认课程项目（应用型））、机械设计制造及其自动化（国际本科学术互认课程项目（应用型））、软件工程（国际本科学术互认课程项目（应用型））；</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专科专业：发电厂及电力系统（中加合作办学）、电力系统继电保护与自动化技术（中加合作办学）、电厂热能动力装置（中加合作办学）、工业过程自动化技术（中加合作办学）。</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3.男女生比例要求的专业及限制比例：不限。(由于能源电力相关专业学生在就业过程中受企业工作性质限制，女生慎报。)</w:t>
      </w:r>
    </w:p>
    <w:p>
      <w:pPr>
        <w:pBdr>
          <w:top w:val="none" w:sz="0" w:space="0" w:color="auto"/>
          <w:left w:val="none" w:sz="0" w:space="0" w:color="auto"/>
          <w:bottom w:val="none" w:sz="0" w:space="0" w:color="auto"/>
          <w:right w:val="none" w:sz="0" w:space="0" w:color="auto"/>
        </w:pBdr>
        <w:spacing w:before="0" w:after="0" w:line="64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学校招生计划按照辽宁省教育厅核准的分省分专业招生计划执行。在实行高考改革的省（区、市）设置的招生专业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三、专业设置说明</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1、本科专业设置</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72"/>
        <w:gridCol w:w="1230"/>
        <w:gridCol w:w="3030"/>
        <w:gridCol w:w="872"/>
        <w:gridCol w:w="1354"/>
        <w:gridCol w:w="1265"/>
        <w:gridCol w:w="1751"/>
        <w:gridCol w:w="2234"/>
        <w:gridCol w:w="438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795"/>
        </w:trPr>
        <w:tc>
          <w:tcPr>
            <w:tcW w:w="765"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序号</w:t>
            </w:r>
          </w:p>
        </w:tc>
        <w:tc>
          <w:tcPr>
            <w:tcW w:w="1260"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代码</w:t>
            </w:r>
          </w:p>
        </w:tc>
        <w:tc>
          <w:tcPr>
            <w:tcW w:w="2385"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专业名称</w:t>
            </w:r>
          </w:p>
        </w:tc>
        <w:tc>
          <w:tcPr>
            <w:tcW w:w="1005"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学制</w:t>
            </w:r>
          </w:p>
        </w:tc>
        <w:tc>
          <w:tcPr>
            <w:tcW w:w="1155"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学习年限</w:t>
            </w:r>
          </w:p>
        </w:tc>
        <w:tc>
          <w:tcPr>
            <w:tcW w:w="740"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科类</w:t>
            </w:r>
          </w:p>
        </w:tc>
        <w:tc>
          <w:tcPr>
            <w:tcW w:w="995"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授予学位门类</w:t>
            </w:r>
          </w:p>
        </w:tc>
        <w:tc>
          <w:tcPr>
            <w:tcW w:w="1160"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pacing w:val="-15"/>
              </w:rPr>
              <w:t>学费（元/年/生）</w:t>
            </w:r>
          </w:p>
        </w:tc>
        <w:tc>
          <w:tcPr>
            <w:tcW w:w="2075"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备注</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020303</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保险学</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经济学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030101K</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030302</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社会工作</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文史</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法学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070302</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应用化学</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080202</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机械设计制造及其自动化</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6</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080202</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机械设计制造及其自动化</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国际本科学术互认课程项目（应用型）</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7</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080206</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过程装备与控制工程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8</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080209T</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机械工艺技术</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9</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080414T</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新能源材料与器件</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10</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080501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能源与动力工程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11</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080501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能源与动力工程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国际本科学术互认课程项目（应用型）</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080503T</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新能源科学与工程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13</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080601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电气工程及其自动化</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14</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080601H</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电气工程及其自动化</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中澳合作办学</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15</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080604T</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电气工程与智能控制</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16</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电子信息工程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17</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080703</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通信工程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18</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080801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自动化</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19</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080803T</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机器人工程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20</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计算机科学与技术</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4500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21</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080902</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软件工程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国际本科学术互认课程项目（应用型）</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080905</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物联网工程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23</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080906</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数字媒体技术</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24</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080910T</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数据科学与大数据技术</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4800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081002</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建筑环境与能源应用工程</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26</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082201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核工程与核技术</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27</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120103</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工程管理</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28</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120204</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财务管理</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29</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120209</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物业管理</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文理兼招</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30</w:t>
            </w:r>
          </w:p>
        </w:tc>
        <w:tc>
          <w:tcPr>
            <w:tcW w:w="12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120601</w:t>
            </w:r>
          </w:p>
        </w:tc>
        <w:tc>
          <w:tcPr>
            <w:tcW w:w="23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物流管理</w:t>
            </w:r>
          </w:p>
        </w:tc>
        <w:tc>
          <w:tcPr>
            <w:tcW w:w="10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16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4000</w:t>
            </w:r>
          </w:p>
        </w:tc>
        <w:tc>
          <w:tcPr>
            <w:tcW w:w="20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6" w:type="dxa"/>
          <w:tblInd w:w="165" w:type="dxa"/>
          <w:tblCellMar>
            <w:top w:w="15" w:type="dxa"/>
            <w:left w:w="15" w:type="dxa"/>
            <w:bottom w:w="15" w:type="dxa"/>
            <w:right w:w="15" w:type="dxa"/>
          </w:tblCellMar>
        </w:tblPrEx>
        <w:trPr>
          <w:trHeight w:val="345"/>
        </w:trPr>
        <w:tc>
          <w:tcPr>
            <w:tcW w:w="765"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31</w:t>
            </w:r>
          </w:p>
        </w:tc>
        <w:tc>
          <w:tcPr>
            <w:tcW w:w="1260"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120701</w:t>
            </w:r>
          </w:p>
        </w:tc>
        <w:tc>
          <w:tcPr>
            <w:tcW w:w="2385"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工业工程</w:t>
            </w:r>
          </w:p>
        </w:tc>
        <w:tc>
          <w:tcPr>
            <w:tcW w:w="1005"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四年</w:t>
            </w:r>
          </w:p>
        </w:tc>
        <w:tc>
          <w:tcPr>
            <w:tcW w:w="1245"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3-6年</w:t>
            </w:r>
          </w:p>
        </w:tc>
        <w:tc>
          <w:tcPr>
            <w:tcW w:w="740"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理工</w:t>
            </w:r>
          </w:p>
        </w:tc>
        <w:tc>
          <w:tcPr>
            <w:tcW w:w="995"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管理学</w:t>
            </w:r>
          </w:p>
        </w:tc>
        <w:tc>
          <w:tcPr>
            <w:tcW w:w="1160"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4200</w:t>
            </w:r>
          </w:p>
        </w:tc>
        <w:tc>
          <w:tcPr>
            <w:tcW w:w="2075" w:type="dxa"/>
            <w:tcBorders>
              <w:top w:val="single" w:sz="24" w:space="0" w:color="000000"/>
              <w:right w:val="single" w:sz="24" w:space="0" w:color="000000"/>
            </w:tcBorders>
            <w:noWrap w:val="0"/>
            <w:tcMar>
              <w:top w:w="30"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2、专科专业设置</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13"/>
        <w:gridCol w:w="1562"/>
        <w:gridCol w:w="3750"/>
        <w:gridCol w:w="1105"/>
        <w:gridCol w:w="1470"/>
        <w:gridCol w:w="1116"/>
        <w:gridCol w:w="2225"/>
        <w:gridCol w:w="206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450"/>
        </w:trPr>
        <w:tc>
          <w:tcPr>
            <w:tcW w:w="660"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序号</w:t>
            </w:r>
          </w:p>
        </w:tc>
        <w:tc>
          <w:tcPr>
            <w:tcW w:w="1380"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专业代码</w:t>
            </w:r>
          </w:p>
        </w:tc>
        <w:tc>
          <w:tcPr>
            <w:tcW w:w="2925" w:type="dxa"/>
            <w:tcBorders>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专业名称</w:t>
            </w:r>
          </w:p>
        </w:tc>
        <w:tc>
          <w:tcPr>
            <w:tcW w:w="995"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学制</w:t>
            </w:r>
          </w:p>
        </w:tc>
        <w:tc>
          <w:tcPr>
            <w:tcW w:w="1310"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学习年限</w:t>
            </w:r>
          </w:p>
        </w:tc>
        <w:tc>
          <w:tcPr>
            <w:tcW w:w="1010"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科类</w:t>
            </w:r>
          </w:p>
        </w:tc>
        <w:tc>
          <w:tcPr>
            <w:tcW w:w="1400"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pacing w:val="-15"/>
              </w:rPr>
              <w:t>学费（元/年/生）</w:t>
            </w:r>
          </w:p>
        </w:tc>
        <w:tc>
          <w:tcPr>
            <w:tcW w:w="1955" w:type="dxa"/>
            <w:tcBorders>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rPr>
              <w:t>备注</w:t>
            </w:r>
          </w:p>
        </w:tc>
      </w:tr>
      <w:tr>
        <w:tblPrEx>
          <w:tblW w:w="14326" w:type="dxa"/>
          <w:tblInd w:w="165" w:type="dxa"/>
          <w:tblCellMar>
            <w:top w:w="15" w:type="dxa"/>
            <w:left w:w="15" w:type="dxa"/>
            <w:bottom w:w="15" w:type="dxa"/>
            <w:right w:w="15" w:type="dxa"/>
          </w:tblCellMar>
        </w:tblPrEx>
        <w:trPr>
          <w:trHeight w:val="555"/>
        </w:trPr>
        <w:tc>
          <w:tcPr>
            <w:tcW w:w="6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1</w:t>
            </w:r>
          </w:p>
        </w:tc>
        <w:tc>
          <w:tcPr>
            <w:tcW w:w="13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530101H</w:t>
            </w:r>
          </w:p>
        </w:tc>
        <w:tc>
          <w:tcPr>
            <w:tcW w:w="29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发电厂及电力系统</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2-5年</w:t>
            </w:r>
          </w:p>
        </w:tc>
        <w:tc>
          <w:tcPr>
            <w:tcW w:w="10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理科</w:t>
            </w:r>
          </w:p>
        </w:tc>
        <w:tc>
          <w:tcPr>
            <w:tcW w:w="14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22000</w:t>
            </w:r>
          </w:p>
        </w:tc>
        <w:tc>
          <w:tcPr>
            <w:tcW w:w="19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中加合作办学</w:t>
            </w:r>
          </w:p>
        </w:tc>
      </w:tr>
      <w:tr>
        <w:tblPrEx>
          <w:tblW w:w="14326" w:type="dxa"/>
          <w:tblInd w:w="165" w:type="dxa"/>
          <w:tblCellMar>
            <w:top w:w="15" w:type="dxa"/>
            <w:left w:w="15" w:type="dxa"/>
            <w:bottom w:w="15" w:type="dxa"/>
            <w:right w:w="15" w:type="dxa"/>
          </w:tblCellMar>
        </w:tblPrEx>
        <w:trPr>
          <w:trHeight w:val="750"/>
        </w:trPr>
        <w:tc>
          <w:tcPr>
            <w:tcW w:w="6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w:t>
            </w:r>
          </w:p>
        </w:tc>
        <w:tc>
          <w:tcPr>
            <w:tcW w:w="13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530105H</w:t>
            </w:r>
          </w:p>
        </w:tc>
        <w:tc>
          <w:tcPr>
            <w:tcW w:w="29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电力系统继电保护与自动化技术</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2-5年</w:t>
            </w:r>
          </w:p>
        </w:tc>
        <w:tc>
          <w:tcPr>
            <w:tcW w:w="10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理科</w:t>
            </w:r>
          </w:p>
        </w:tc>
        <w:tc>
          <w:tcPr>
            <w:tcW w:w="14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22000</w:t>
            </w:r>
          </w:p>
        </w:tc>
        <w:tc>
          <w:tcPr>
            <w:tcW w:w="19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中加合作办学</w:t>
            </w:r>
          </w:p>
        </w:tc>
      </w:tr>
      <w:tr>
        <w:tblPrEx>
          <w:tblW w:w="14326" w:type="dxa"/>
          <w:tblInd w:w="165" w:type="dxa"/>
          <w:tblCellMar>
            <w:top w:w="15" w:type="dxa"/>
            <w:left w:w="15" w:type="dxa"/>
            <w:bottom w:w="15" w:type="dxa"/>
            <w:right w:w="15" w:type="dxa"/>
          </w:tblCellMar>
        </w:tblPrEx>
        <w:trPr>
          <w:trHeight w:val="465"/>
        </w:trPr>
        <w:tc>
          <w:tcPr>
            <w:tcW w:w="66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3</w:t>
            </w:r>
          </w:p>
        </w:tc>
        <w:tc>
          <w:tcPr>
            <w:tcW w:w="13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530201H</w:t>
            </w:r>
          </w:p>
        </w:tc>
        <w:tc>
          <w:tcPr>
            <w:tcW w:w="292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电厂热能动力装置</w:t>
            </w:r>
          </w:p>
        </w:tc>
        <w:tc>
          <w:tcPr>
            <w:tcW w:w="9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2-5年</w:t>
            </w:r>
          </w:p>
        </w:tc>
        <w:tc>
          <w:tcPr>
            <w:tcW w:w="10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理科</w:t>
            </w:r>
          </w:p>
        </w:tc>
        <w:tc>
          <w:tcPr>
            <w:tcW w:w="14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22000</w:t>
            </w:r>
          </w:p>
        </w:tc>
        <w:tc>
          <w:tcPr>
            <w:tcW w:w="19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中加合作办学</w:t>
            </w:r>
          </w:p>
        </w:tc>
      </w:tr>
      <w:tr>
        <w:tblPrEx>
          <w:tblW w:w="14326" w:type="dxa"/>
          <w:tblInd w:w="165" w:type="dxa"/>
          <w:tblCellMar>
            <w:top w:w="15" w:type="dxa"/>
            <w:left w:w="15" w:type="dxa"/>
            <w:bottom w:w="15" w:type="dxa"/>
            <w:right w:w="15" w:type="dxa"/>
          </w:tblCellMar>
        </w:tblPrEx>
        <w:trPr>
          <w:trHeight w:val="495"/>
        </w:trPr>
        <w:tc>
          <w:tcPr>
            <w:tcW w:w="660"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4</w:t>
            </w:r>
          </w:p>
        </w:tc>
        <w:tc>
          <w:tcPr>
            <w:tcW w:w="1380"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560303H</w:t>
            </w:r>
          </w:p>
        </w:tc>
        <w:tc>
          <w:tcPr>
            <w:tcW w:w="2925" w:type="dxa"/>
            <w:tcBorders>
              <w:top w:val="single" w:sz="24" w:space="0" w:color="000000"/>
              <w:left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工业过程自动化技术</w:t>
            </w:r>
          </w:p>
        </w:tc>
        <w:tc>
          <w:tcPr>
            <w:tcW w:w="995"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三年</w:t>
            </w:r>
          </w:p>
        </w:tc>
        <w:tc>
          <w:tcPr>
            <w:tcW w:w="1310"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2-5年</w:t>
            </w:r>
          </w:p>
        </w:tc>
        <w:tc>
          <w:tcPr>
            <w:tcW w:w="1010"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理科</w:t>
            </w:r>
          </w:p>
        </w:tc>
        <w:tc>
          <w:tcPr>
            <w:tcW w:w="1400"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22000</w:t>
            </w:r>
          </w:p>
        </w:tc>
        <w:tc>
          <w:tcPr>
            <w:tcW w:w="1955" w:type="dxa"/>
            <w:tcBorders>
              <w:top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中加合作办学</w:t>
            </w:r>
          </w:p>
        </w:tc>
      </w:tr>
    </w:tbl>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四、毕业证书与学位证书说明</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1.本科学生学习期满，成绩合格，颁发沈阳工程学院普通高等学校本科毕业证书，达到沈阳工程学院学位授予标准的颁发沈阳工程学院学士学位证书。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2.高职专科学生学习期满，成绩合格，颁发沈阳工程学院普通高等学校高职专科毕业证书。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五、收费情况说明</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1.学费和住宿费的收取标准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学费：按照省发改委批准的标准及相关备案标准向学生收费。</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住宿费：按照省发改委批准的标准收费，每生每学年</w:t>
      </w:r>
      <w:r>
        <w:rPr>
          <w:rFonts w:ascii="FangSong" w:eastAsia="FangSong" w:hAnsi="FangSong" w:cs="FangSong"/>
          <w:color w:val="666666"/>
          <w:sz w:val="32"/>
          <w:szCs w:val="32"/>
        </w:rPr>
        <w:t>600元/900元。</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2.学费和住宿费的退费办法</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学生因故退学或提前结束学业，学校依据国家有关规定，再根据学生实际学习时间，按月计退剩余的学费和住宿费。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1）学校有国家奖学金：8000元/年；省政府奖学金：8000元/年；国家励志奖学金：5000元/年；国家助学金：每年2500元、4000元两个等级；学校综合奖学金：特等奖、一等奖、二等奖、三等奖；学校单项奖学金等。</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2）</w:t>
      </w:r>
      <w:r>
        <w:rPr>
          <w:rFonts w:ascii="FangSong" w:eastAsia="FangSong" w:hAnsi="FangSong" w:cs="FangSong"/>
          <w:color w:val="666666"/>
          <w:sz w:val="32"/>
          <w:szCs w:val="32"/>
        </w:rPr>
        <w:t>红河国际学院单独设有留学奖学金和访学奖学金</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w:t>
      </w:r>
      <w:r>
        <w:rPr>
          <w:rFonts w:ascii="FangSong" w:eastAsia="FangSong" w:hAnsi="FangSong" w:cs="FangSong"/>
          <w:color w:val="666666"/>
          <w:sz w:val="32"/>
          <w:szCs w:val="32"/>
        </w:rPr>
        <w:t>3）家庭经济困难学生可在生源地申请国家助学贷款；学校家庭经济困难学生资助工作有关程序按照国家及辽宁省有关文件规定执行，各类奖助学金评比过程、评比结果按要求实施公示，接受师生监督；孤儿学生持有效证件到学校申请免学费、住宿费。</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六、国际交流与合作方面说明</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w:t>
      </w:r>
      <w:r>
        <w:rPr>
          <w:rFonts w:ascii="FangSong" w:eastAsia="FangSong" w:hAnsi="FangSong" w:cs="FangSong"/>
          <w:color w:val="666666"/>
          <w:sz w:val="32"/>
          <w:szCs w:val="32"/>
        </w:rPr>
        <w:t>沈阳工程学院与澳大利亚莫道克大学合作举办的电气工程及其自动化专业本科教育项目，是经教育部（教外函</w:t>
      </w:r>
      <w:r>
        <w:rPr>
          <w:rFonts w:ascii="FangSong" w:eastAsia="FangSong" w:hAnsi="FangSong" w:cs="FangSong"/>
          <w:color w:val="666666"/>
          <w:sz w:val="32"/>
          <w:szCs w:val="32"/>
        </w:rPr>
        <w:t>[2016]66号）批准成立的中外合作办学项目，纳入国家普通高等教育招生计划，参加全国普通高等学校统一入学考试，在本科批次录取。参加该项目的学生按照国家中外合作办学的要求进行人才培养和课程设置,可以在沈阳工程学院完成项目计划规定的全部四年课程，达到沈阳工程学院毕业要求，获得沈阳工程学院普通高等学校毕业证书和沈阳工程学院普通高等学校学士学位证书；或者在满足莫道克大学入学要求的基础上，自愿选择赴澳方攻读第四年课程，达到双方毕业要求，可获得两校学位证书和沈阳工程学院普通高等学校毕业证书。该项目旨在培养具有国际视野及适应我国产业结构调整需要的高等工程专门人才。</w:t>
      </w:r>
    </w:p>
    <w:p>
      <w:pPr>
        <w:pBdr>
          <w:top w:val="none" w:sz="0" w:space="0" w:color="auto"/>
          <w:left w:val="none" w:sz="0" w:space="0" w:color="auto"/>
          <w:bottom w:val="none" w:sz="0" w:space="0" w:color="auto"/>
          <w:right w:val="none" w:sz="0" w:space="0" w:color="auto"/>
        </w:pBdr>
        <w:spacing w:before="0" w:after="0" w:line="61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沈阳工程学院红河国际学院（以下简称红河国际学院）隶属于沈阳工程学院，由沈阳工程学院与加拿大红河学院联合创办。该机构是不具有独立法人的中外合作办学机构，实施高等职业技术专科学历教育，纳入辽宁省普通高等学校招生计划，在本校高职专科批次录取，开设的专业为发电厂及电力系统、供用电技术、高压输配电线路施工运行与维护、电力系统继电保护与自动化技术、电厂热能动力装置、火电厂集控运行、工业过程自动化技术、旅游英语8个专业，办学规模1100人。红河国际学院的学生在沈阳工程学院成功完成前两年的课程学习后，英语达到要求，有出国意向，并满足加拿大签证申请条件的学生，可自愿申请进入加拿大红河学院相关专业最后一年学习。第三年不出国的学生，由沈阳工程学院提供合作办学课程。学生达到双方毕业要求，可获得两校的毕业文凭证书。</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SimHei" w:eastAsia="SimHei" w:hAnsi="SimHei" w:cs="SimHei"/>
          <w:color w:val="666666"/>
          <w:sz w:val="32"/>
          <w:szCs w:val="32"/>
        </w:rPr>
        <w:t>七、录取办法说明</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1.调档比例</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按照顺序志愿投档的批次，投档比例原则上控制在</w:t>
      </w:r>
      <w:r>
        <w:rPr>
          <w:rFonts w:ascii="FangSong" w:eastAsia="FangSong" w:hAnsi="FangSong" w:cs="FangSong"/>
          <w:color w:val="666666"/>
          <w:sz w:val="32"/>
          <w:szCs w:val="32"/>
        </w:rPr>
        <w:t>120%以内。按照平行志愿投档的批次，投档比例原则上控制在105%以内。</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2.身体健康状况要求</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按教育部、卫生部、中国残疾人联合会印发的《普通高等学校招生体检工作指导意见》执行。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3.院校志愿及录取</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根据教育部及各省招考办有关文件精神，在已实行平行志愿投档的省份，我校实行平行志愿投档录取方式。不实行平行志愿投档的省份：当第一志愿上线考生数不足计划招生数时，在同批录取学校控制分数线以上，按考生志愿顺序从高分到低分择优录取；当第一志愿上线考生数多于计划招生数时，不再调阅第二志愿及其他志愿考生档案。录取二志愿及其他志愿考生无分数级差。</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4.对高考加分考生的处理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执行各省招考委关于高考加分的有关规定。</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5.进档考生的专业安排办法</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普通类和中外合作办学类专业的进档考生，采用投档单库中投档成绩为基准成绩，基准成绩相同时，理科依次按数学、语文、外语单科成绩从高分到低分排序，文科依次按语文、数学、外语单科成绩从高分到低分排序；如仍相同，则审核考生档案，择优录取（生源地为实行高考改革的省（区、市）的进档考生，若基准成绩相同，则以所在省（区、市）招考委公布的普通高校招生录取工作方案办法为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专业安排办法：考生专业志愿选择专业级差方式，即专业间分数级差为</w:t>
      </w:r>
      <w:r>
        <w:rPr>
          <w:rFonts w:ascii="FangSong" w:eastAsia="FangSong" w:hAnsi="FangSong" w:cs="FangSong"/>
          <w:color w:val="666666"/>
          <w:sz w:val="32"/>
          <w:szCs w:val="32"/>
        </w:rPr>
        <w:t>1、2志愿3分，2、3志愿2分,3、4志愿1分（在内蒙古自治区实行招生计划1:1范围内按专业志愿排队录取）。所有专业志愿都无法满足时，如果考生服从专业调剂同时又有未录满专业，将由学校调剂到相应未录满专业。高考成绩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6.报考我校的考生可通过沈阳工程学院招生信息网查询本人的录取结果。</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7.咨询及联系方式</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招生咨询电话：</w:t>
      </w:r>
      <w:r>
        <w:rPr>
          <w:rFonts w:ascii="FangSong" w:eastAsia="FangSong" w:hAnsi="FangSong" w:cs="FangSong"/>
          <w:color w:val="666666"/>
          <w:sz w:val="32"/>
          <w:szCs w:val="32"/>
        </w:rPr>
        <w:t>024－31975263</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传真：</w:t>
      </w:r>
      <w:r>
        <w:rPr>
          <w:rFonts w:ascii="FangSong" w:eastAsia="FangSong" w:hAnsi="FangSong" w:cs="FangSong"/>
          <w:color w:val="666666"/>
          <w:sz w:val="32"/>
          <w:szCs w:val="32"/>
        </w:rPr>
        <w:t>024-31975265</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网址：</w:t>
      </w:r>
      <w:r>
        <w:rPr>
          <w:rFonts w:ascii="FangSong" w:eastAsia="FangSong" w:hAnsi="FangSong" w:cs="FangSong"/>
          <w:color w:val="666666"/>
          <w:sz w:val="32"/>
          <w:szCs w:val="32"/>
        </w:rPr>
        <w:t>http://www.sie.edu.cn</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招生信息网：</w:t>
      </w:r>
      <w:r>
        <w:rPr>
          <w:rFonts w:ascii="FangSong" w:eastAsia="FangSong" w:hAnsi="FangSong" w:cs="FangSong"/>
          <w:color w:val="666666"/>
          <w:sz w:val="32"/>
          <w:szCs w:val="32"/>
        </w:rPr>
        <w:t>http://zhaosheng.sie.edu.cn</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电子信箱：</w:t>
      </w:r>
      <w:r>
        <w:rPr>
          <w:rFonts w:ascii="FangSong" w:eastAsia="FangSong" w:hAnsi="FangSong" w:cs="FangSong"/>
          <w:color w:val="666666"/>
          <w:sz w:val="32"/>
          <w:szCs w:val="32"/>
        </w:rPr>
        <w:t>zhaosheng@sie.edu.cn</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645"/>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85" w:lineRule="atLeast"/>
        <w:ind w:left="0" w:right="0" w:firstLine="480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沈阳工程学院</w:t>
      </w:r>
    </w:p>
    <w:p>
      <w:pPr>
        <w:pBdr>
          <w:top w:val="none" w:sz="0" w:space="0" w:color="auto"/>
          <w:left w:val="none" w:sz="0" w:space="0" w:color="auto"/>
          <w:bottom w:val="none" w:sz="0" w:space="0" w:color="auto"/>
          <w:right w:val="none" w:sz="0" w:space="0" w:color="auto"/>
        </w:pBdr>
        <w:spacing w:before="0" w:after="0" w:line="585" w:lineRule="atLeast"/>
        <w:ind w:left="0" w:right="0" w:firstLine="4485"/>
        <w:rPr>
          <w:rFonts w:ascii="Microsoft YaHei" w:eastAsia="Microsoft YaHei" w:hAnsi="Microsoft YaHei" w:cs="Microsoft YaHei"/>
          <w:color w:val="666666"/>
          <w:sz w:val="21"/>
          <w:szCs w:val="21"/>
        </w:rPr>
      </w:pPr>
      <w:r>
        <w:rPr>
          <w:rFonts w:ascii="FangSong" w:eastAsia="FangSong" w:hAnsi="FangSong" w:cs="FangSong"/>
          <w:color w:val="666666"/>
          <w:sz w:val="32"/>
          <w:szCs w:val="32"/>
        </w:rPr>
        <w:t>2019年4月26日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4.html" TargetMode="External" /><Relationship Id="rId11" Type="http://schemas.openxmlformats.org/officeDocument/2006/relationships/hyperlink" Target="http://www.gk114.com/a/gxzs/zszc/liaoning/2021/0510/19593.html" TargetMode="External" /><Relationship Id="rId12" Type="http://schemas.openxmlformats.org/officeDocument/2006/relationships/hyperlink" Target="http://www.gk114.com/a/gxzs/zszc/liaoning/2021/0510/19591.html" TargetMode="External" /><Relationship Id="rId13" Type="http://schemas.openxmlformats.org/officeDocument/2006/relationships/hyperlink" Target="http://www.gk114.com/a/gxzs/zszc/liaoning/2021/0510/19590.html" TargetMode="External" /><Relationship Id="rId14" Type="http://schemas.openxmlformats.org/officeDocument/2006/relationships/hyperlink" Target="http://www.gk114.com/a/gxzs/zszc/liaoning/2021/0510/19586.html" TargetMode="External" /><Relationship Id="rId15" Type="http://schemas.openxmlformats.org/officeDocument/2006/relationships/hyperlink" Target="http://www.gk114.com/a/gxzs/zszc/liaoning/2021/0510/19584.html" TargetMode="External" /><Relationship Id="rId16" Type="http://schemas.openxmlformats.org/officeDocument/2006/relationships/hyperlink" Target="http://www.gk114.com/a/gxzs/zszc/liaoning/2021/0510/19578.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195.html" TargetMode="External" /><Relationship Id="rId5" Type="http://schemas.openxmlformats.org/officeDocument/2006/relationships/hyperlink" Target="http://www.gk114.com/a/gxzs/zszc/liaoning/2019/0625/10197.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220/21747.html" TargetMode="External" /><Relationship Id="rId8" Type="http://schemas.openxmlformats.org/officeDocument/2006/relationships/hyperlink" Target="http://www.gk114.com/a/gxzs/zszc/liaoning/2021/0606/19771.html" TargetMode="External" /><Relationship Id="rId9" Type="http://schemas.openxmlformats.org/officeDocument/2006/relationships/hyperlink" Target="http://www.gk114.com/a/gxzs/zszc/liaoning/2021/0510/1960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