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沈阳建筑大学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1.高校名称（全称）：沈阳建筑大学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2.办学地点及校址：辽宁省沈阳市浑南区浑南中路25号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主要办学条件：校园占地面积95.7万平方米（约合1434.4亩）；生均教学行政用房面积16.0平方米；生均宿舍面积7.8平方米；生师比17.4；专任教师999人,其中具有研究生学位教师占专任教师的比例为94%；具有高级职务教师占专任教师的比例62.8%；教学科研仪器设备总值28746.0万元，生均教学科研仪器设备值13862.5元；图书175.4万册，生均图书84.6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住宿条件：2023级新生宿舍标准为4、6、8人/间。宿舍分配方案为2023级新生宿舍由学校集中统一分配。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1.招生计划分配原则和使用办法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根据自身办学条件等实际情况，统筹考虑国家发展战略、行业发展趋势、区域协调发展需要及重点支持政策，结合近几年各省的高考人数、生源质量及就业情况等因素，经学校研究确定各专业门类的培养规模和分省招生计划。学校2023年不设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2.语种限制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①英语专业仅招英语语种考生；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②中外合作办学专业根据中外双方教学要求，采用英语教学，其他语种考生不宜报考；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③以下专业根据专业教学要求，入校后外语课程只安排英语教学，非英语语种考生不宜报考：电气工程及其自动化（国际本科学术互认课程项目）、工程管理（国际本科学术互认课程项目）和道路桥梁与渡河工程（国际本科学术互认课程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④其他专业新生入学后外语教学为英语或日语、俄语。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3.男女比例要求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我校各专业在招生录取时无男女比例要求。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4、其他说明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在高考综合改革试点省(市)设置的招生专业，对选考科目的要求、综合素质评价档案的使用办法，以当地教育行政部门（或招生考试部门）及我校官方网站公布为准。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学校招生计划要按照省教育厅核准的分省分专业招生计划执行。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三、专业设置</w:t>
      </w:r>
    </w:p>
    <w:tbl>
      <w:tblPr>
        <w:tblInd w:w="210" w:type="dxa"/>
        <w:tblCellMar>
          <w:top w:w="15" w:type="dxa"/>
          <w:left w:w="15" w:type="dxa"/>
          <w:bottom w:w="15" w:type="dxa"/>
          <w:right w:w="15" w:type="dxa"/>
        </w:tblCellMar>
      </w:tblPr>
      <w:tblGrid>
        <w:gridCol w:w="819"/>
        <w:gridCol w:w="1406"/>
        <w:gridCol w:w="2661"/>
        <w:gridCol w:w="819"/>
        <w:gridCol w:w="1228"/>
        <w:gridCol w:w="3191"/>
        <w:gridCol w:w="4673"/>
        <w:gridCol w:w="1638"/>
        <w:gridCol w:w="1883"/>
        <w:gridCol w:w="13362"/>
      </w:tblGrid>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代码</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0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学习年限</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科类1（非高考综合改革省份）</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科类2（采用3+1+2模式的高考综合改革省份）</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授予学位门类</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  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070102</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信息与计算科学</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080201</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080202</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机械设计制造及其自动化</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080204</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机械电子工程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080213T</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智能制造工程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080403</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材料化学</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080406</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无机非金属材料工程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080407</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高分子材料与工程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080412T</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功能材料</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080601</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电气工程及其自动化</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080703</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通信工程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080717T</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080801</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081002</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建筑环境与能源应用工程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081003</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给排水科学与工程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081004</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建筑电气与智能化</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081006T</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道路桥梁与渡河工程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081201</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测绘工程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081802</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082502</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082801</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建筑学</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082802</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城乡规划</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082803</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风景园林</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082901</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安全工程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120103</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工程管理</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120104</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房地产开发与管理</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120105</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120404</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土地资源管理</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120405</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城市管理</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120602</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130310</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动画</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130502</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130503</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130504</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产品设计</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080910T</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081008T</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智能建造</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082404T</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家具设计与工程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120111T</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应急管理</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080601</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电气工程及其自动化</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25000元/年/生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国际本科学术互认课程项目</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120103</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工程管理</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25000元/年/生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国际本科学术互认课程项目</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081006T</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道路桥梁与渡河工程</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25000元/年/生</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国际本科学术互认课程项目</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080910TH</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50000元/年/生</w:t>
            </w:r>
          </w:p>
        </w:tc>
        <w:tc>
          <w:tcPr>
            <w:tcW w:w="178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国外学费（第四年赴新方学习的学生缴纳）：以出国当年新西兰Ara坎特伯雷理工学院公布的收费标准为准，由新西兰Ara坎特伯雷理工学院收取</w:t>
            </w: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080901H</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50000元/年/生</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7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2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120105H</w:t>
            </w:r>
          </w:p>
        </w:tc>
        <w:tc>
          <w:tcPr>
            <w:tcW w:w="26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c>
          <w:tcPr>
            <w:tcW w:w="10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50000元/年/生</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本科学生学习期满，成绩合格颁发沈阳建筑大学普通高等学校本科毕业证书；达到沈阳建筑大学学位授予标准的颁发沈阳建筑大学学士学位证书。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五、收费情况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1.学费和住宿费的收取标准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辽宁省发展和改革委员会批准的标准向学生收取学费和住宿费，并按年度缴费。住宿费根据宿舍人数和条件不同按每人900元/年、1100元/年、1200元/年三个标准收取。各专业具体学费标准已在本章程第三部分专业设置说明中列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学生因故退学或提前结束学业，学校将根据辽宁省教育厅、辽宁省物价局及辽宁省财政厅辽教【2006】76号文件规定，根据学生实际学习时间，按月计退剩余的学费和住宿费。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我校根据国家的有关政策和学校的实际采取了“奖、助、贷、勤、免、补”等多种措施保证家庭经济困难学生的学习生活。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是按规定评定发放国家和辽宁省政府奖学金（8000元/年）、国家励志奖学金（5000元/年）的同时，学校还设立了校长奖学金（10000元/年）、优秀学生奖学金及多种企业奖学金，家庭经济困难学生通过努力学习，可通过获得奖学金以解决在校学习期间的全部或部分费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二是按规定评定发放国家助学金（一等4400元/年，二等2750元/年）的同时，学校还设立了多种形式的勤工助学岗位；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三是积极落实助学贷款政策，协助办理生源地助学贷款有关手续；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四是设立了新生入学绿色通道和学费减免政策，家庭经济困难学生可以申请新生入学绿色通道报到入学，符合条件的家庭经济困难学生可申请学费减免；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五是对于家庭经济特殊困难的学生，还可获得定餐资助金、爱心超市大礼包、雷锋班历任班长资助基金以及社会爱心人士助学扶困基金等资助。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六、国际交流与合作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沈阳建筑大学坎特伯雷理工国际工程学院是沈阳建筑大学与新西兰Ara坎特伯雷理工学院合作实施本科学士学位教育并经中国教育部批准的中外合作办学机构，共开设数据科学与大数据技术、计算机科学与技术、工程造价3个专业，学制4年。采取“4+0”和“3+1”模式，即学生可在国内学习中新双方全部课程，修满中新双方规定的学分，成绩合格，符合毕业和授位条件的学生可获得沈阳建筑大学颁发的毕业证书、学位证书和新西兰Ara坎特伯雷理工学院颁发的学位证书；也可在国内学习3年，符合签证条件和学术标准并达到新方合作学校英语语言水平要求的，第四年可自愿申请赴新方合作学校学习一年，符合毕业和授位条件的学生可获得沈阳建筑大学颁发的毕业证书、学位证书和新西兰Ara坎特伯雷理工学院颁发的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以上专业在本校同批次录取，仅招收有专业志愿考生，招生计划以当地教育主管部门公布为准。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我校在按顺序志愿投档的批次，投档比例原则上控制在120%以内。按平行志愿投档的批次，在高考成绩达到同批次录取控制分数线的考生中，根据所在省生源数量和招生计划情况，投档比例原则上控制在105%以内。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类：对于实行平行志愿投档录取方式的省份和批次，我校遵照执行其相应的录取政策。对于未实行平行志愿投档录取方式的省份和批次，我校按照院校志愿优先的原则录取，即当第一志愿上线考生数不足计划招生数时，在同批录取控制分数线以上，按考生院校志愿顺序从高分到低分择优录取；当第一志愿上线且身体健康状况符合要求的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对实行高考改革省份，选考科目要求以当地教育招生考试部门及我校官方网站公告为准；对于采用“3+1+2”模式的高考改革省份，学校（专业）按物理学科类、历史学科类分列招生计划，分别投档录取。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（2）艺术类：遵照有关省份的投档方式及比例规则进行录取。我校在辽宁省美术类本科批第一阶段录取，实行平行志愿投档模式。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在实行高考改革的省份，如采用“3+3”模式，我校艺术类专业招生对考生的选考科目不作限定；如采用“3+1+2”模式，我校艺术类专业招生对考生的首选科目限定为历史，再选科目不作限定。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我校执行教育部和各省（自治区、直辖市）招生主管部门关于政策性加分（降分）的有关规定。高水平运动队等特殊类型招生专业未做分省分专业计划的，不执行所有高考加分项目和分值。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（1）普通类进档考生专业安排原则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专业安排实行分数优先的录取原则，不设专业级差。在进入我校录取分数线的考生中，以投档成绩为依据，按先高分后低分的原则，依据考生专业志愿顺序依次安排专业。在考生专业安排过程中，当考生投档成绩无法满足所填报的专业志愿的分数要求时，如考生服从专业调剂，学校将根据考生投档成绩，从高分到低分调剂到招生计划尚未完成的专业，直至录满；对于不服从专业调剂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同一专业且投档成绩相同的进档考生，有明确要求的省份，执行该省有关招生录取文件规定；没有明确要求的省份，高考相关科目分数较高者优先录取，优先顺序为数学、语文、外语；英语专业科目优先顺序为外语、语文、数学。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（2）特殊专业的录取规定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①报考建筑学、城乡规划、风景园林等专业须具备一定的美术基础；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②电气工程及其自动化（国际本科学术互认课程项目）、工程管理（国际本科学术互认课程项目）和道路桥梁与渡河工程（国际本科学术互认课程项目）仅招收有专业志愿考生，不接受专业调剂；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③2023年少数民族预科班录取时将直接依据考生高考成绩安排专业。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（3）特殊省份的录取原则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①在内蒙古自治区按照该省份实行“招生计划1:1范围内按专业志愿排队录取”的录取原则；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②在新疆维吾尔自治区标注为“面向塔城地区招生”的招生计划对报考考生的要求为新疆塔城地区的考生；标注为“面向八师石河子市招生”的考生计划对报考考生的要求为新疆八师石河子市的考生；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③在实行招生考试制度改革的试点省份，我校按照当地发布的2023年普通高校招生录取工作方案，执行相应批次（类别）的录取办法。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6.艺术类专业和高水平运动队招生说明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（1）艺术类专业招生考试的录取办法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2023年，我校艺术类招生继续统一采用考生所在地省级艺术类专业统考成绩（简称省级统考成绩）。在我校列有艺术类招生计划的省份，凡达到该省相应艺术类统考合格线的考生均可报考。录取原则为：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对于学校所在艺术类批次实行平行志愿投档录取方式的省份，我校遵照执行其相应的投档、录取政策，按照分数优先的原则，依据考生的投档成绩和专业志愿安排专业。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学校所在艺术类批次未实行平行志愿投档录取方式的省份，我校在投档的考生中，在其艺术统考成绩达到所在省艺术类专业统考合格线且高考成绩达到所在省划定的艺术类提档控制线的基础上，按综合成绩（综合成绩=高考成绩+省级统考成绩）进行排名，从高分到低分依次录取并安排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对于报考同一专业且投档成绩或综合成绩相同的进档考生，有明确要求的省份，执行该省有关招生录取文件规定；没有明确要求的省份，录取顺序为：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①省级统考成绩较高者；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②高考成绩较高者；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③高考相关科目分数较高者，科目优先顺序为语文、数学、外语。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（2）高水平运动队招生考试的工作程序、日程安排及录取办法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工作程序：报考我校高水平运动队游泳项目的考生，运动技术水平测试由国家体育总局统一组织，考生须参加全国统测。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我校高水平运动队网球项目的考生需按我校规定时间到学校进行运动技术水平测试报名，报名时需持本人身份证、国家等级运动员证书原件、被认定为等级运动员相应竞赛的秩序册、成绩册原件、符合报考条件相应竞赛的秩序册、成绩册原件等。考生需本人到校报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日程安排：2023年3月7日前考生网上报名；网球项目运动技术水平测试时间为4月1日；游泳项目考生须根据国家体育总局组织全国统测时间安排进行测试；2023年7月，招生录取。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办法：①我校游泳项目将根据考生的全国统考成绩分布情况确定合格成绩要求，并结合学校该项目招生计划确定专业测试合格考生名单。网球项目则依据考生在我校组织的专业测试成绩，按照不同性别并结合学校该项目招生计划，在国家规定的比例内确定专业测试合格考生名单。上述专业测试合格的考生，如生源所在省（区、市）统一组织高水平运动队相应项目的专业测试，则须参加省级统一测试并获得通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我校将在学校招生网站上对专业测试合格考生名单进行公示，如无异议，学校将上传专业测试合格考生名单至教育部“阳光高考”平台进行集中公示。未经教育部集中公示合格的考生，我校不予录取。对于弄虚作假的考生，一经发现，我校将取消其当年报考和录取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具有国家一级运动员（含）以上证书，专业测试成绩优异，并获得我校“文化课单考”优惠政策的考生，如在国家体育总局统一组织的单独招生文化课考试中成绩达到我校划定分数线，我校将在其生源所在地省级招生机构审核同意后予以录取。 </w:t>
      </w:r>
      <w:r>
        <w:rPr>
          <w:rFonts w:ascii="Microsoft YaHei" w:eastAsia="Microsoft YaHei" w:hAnsi="Microsoft YaHei" w:cs="Microsoft YaHei"/>
          <w:color w:val="333333"/>
        </w:rPr>
        <w:br/>
      </w:r>
      <w:r>
        <w:rPr>
          <w:rFonts w:ascii="Microsoft YaHei" w:eastAsia="Microsoft YaHei" w:hAnsi="Microsoft YaHei" w:cs="Microsoft YaHei"/>
          <w:color w:val="333333"/>
        </w:rPr>
        <w:t>     具有国家二级运动员（含）以上证书，专业测试成绩特别突出、确有培养前途，并获得我校“高考文化课成绩可降至生源所在地本科第二批次录取控制分数线65%”优惠政策的考生，我校将在其生源所在地省级招生机构审核同意后予以录取。 </w:t>
      </w:r>
      <w:r>
        <w:rPr>
          <w:rFonts w:ascii="Microsoft YaHei" w:eastAsia="Microsoft YaHei" w:hAnsi="Microsoft YaHei" w:cs="Microsoft YaHei"/>
          <w:color w:val="333333"/>
        </w:rPr>
        <w:br/>
      </w:r>
      <w:r>
        <w:rPr>
          <w:rFonts w:ascii="Microsoft YaHei" w:eastAsia="Microsoft YaHei" w:hAnsi="Microsoft YaHei" w:cs="Microsoft YaHei"/>
          <w:color w:val="333333"/>
        </w:rPr>
        <w:t>     具有国家二级运动员（含）以上证书，专业测试成绩合格，并获得我校“高考文化课成绩达到生源所在地本科第二批次录取控制分数线”优惠政策的考生，我校将按照专业测试成绩顺序，在其生源所在地省级招生机构审核同意的基础上，择优录取至额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对于合并本科批次的省（区、市），我校将参照省级招生机构关于高校高水平运动队录取控制分数线的相关规定进行录取。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7.联系电话：024-24693969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t>
      </w:r>
      <w:hyperlink r:id="rId4" w:history="1">
        <w:r>
          <w:rPr>
            <w:rFonts w:ascii="Microsoft YaHei" w:eastAsia="Microsoft YaHei" w:hAnsi="Microsoft YaHei" w:cs="Microsoft YaHei"/>
            <w:color w:val="333333"/>
            <w:u w:val="single" w:color="333333"/>
          </w:rPr>
          <w:t>http://www.sjzu.edu.cn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本章程自发布之日起生效。章程公布后，如有关省份高考招生政策发生调整，我校将对录取政策做出相应调整，并另行公布。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沈阳建筑大学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2023年4月23日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沈阳农业大学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大连交通大学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大连交通大学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沈阳农业大学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93.html" TargetMode="External" /><Relationship Id="rId11" Type="http://schemas.openxmlformats.org/officeDocument/2006/relationships/hyperlink" Target="http://www.gk114.com/a/gxzs/zszc/liaoning/2023/0611/28292.html" TargetMode="External" /><Relationship Id="rId12" Type="http://schemas.openxmlformats.org/officeDocument/2006/relationships/hyperlink" Target="http://www.gk114.com/a/gxzs/zszc/liaoning/2023/0611/28291.html" TargetMode="External" /><Relationship Id="rId13" Type="http://schemas.openxmlformats.org/officeDocument/2006/relationships/hyperlink" Target="http://www.gk114.com/a/gxzs/zszc/liaoning/2023/0611/28290.html" TargetMode="External" /><Relationship Id="rId14" Type="http://schemas.openxmlformats.org/officeDocument/2006/relationships/hyperlink" Target="http://www.gk114.com/a/gxzs/zszc/liaoning/2023/0611/28289.html" TargetMode="External" /><Relationship Id="rId15" Type="http://schemas.openxmlformats.org/officeDocument/2006/relationships/hyperlink" Target="http://www.gk114.com/a/gxzs/zszc/liaoning/2023/0611/28288.html" TargetMode="External" /><Relationship Id="rId16" Type="http://schemas.openxmlformats.org/officeDocument/2006/relationships/hyperlink" Target="http://www.gk114.com/a/gxzs/zszc/liaoning/2022/0615/22779.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jzu.edu.cn/" TargetMode="External" /><Relationship Id="rId5" Type="http://schemas.openxmlformats.org/officeDocument/2006/relationships/hyperlink" Target="http://www.gk114.com/a/gxzs/zszc/liaoning/2023/0611/28296.html" TargetMode="External" /><Relationship Id="rId6" Type="http://schemas.openxmlformats.org/officeDocument/2006/relationships/hyperlink" Target="http://www.gk114.com/a/gxzs/zszc/liaoning/2023/0611/28298.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3/0611/28295.html" TargetMode="External" /><Relationship Id="rId9" Type="http://schemas.openxmlformats.org/officeDocument/2006/relationships/hyperlink" Target="http://www.gk114.com/a/gxzs/zszc/liaoning/2023/0611/2829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