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河北医科大学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年普通专升本招生章程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按照《河北省教育厅关于做好2022年河北省普通高校专科升本科教育考试招生工作的通知》（冀教学〔2022〕1号）文件精神，2022年我校将继续开展普通专升本招生工作，结合学校招生工作实际，特制定本章程。</w:t>
      </w:r>
    </w:p>
    <w:p>
      <w:pPr>
        <w:spacing w:before="240" w:after="240" w:line="555" w:lineRule="atLeast"/>
        <w:ind w:firstLine="645"/>
        <w:rPr>
          <w:rFonts w:ascii="Times New Roman" w:eastAsia="Times New Roman" w:hAnsi="Times New Roman" w:cs="Times New Roman"/>
        </w:rPr>
      </w:pPr>
      <w:r>
        <w:rPr>
          <w:rFonts w:ascii="SimHei" w:eastAsia="SimHei" w:hAnsi="SimHei" w:cs="SimHei"/>
          <w:b/>
          <w:bCs/>
          <w:sz w:val="32"/>
          <w:szCs w:val="32"/>
        </w:rPr>
        <w:t>一、学校简介</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1.</w:t>
      </w:r>
      <w:r>
        <w:rPr>
          <w:rFonts w:ascii="FangSong" w:eastAsia="FangSong" w:hAnsi="FangSong" w:cs="FangSong"/>
          <w:sz w:val="32"/>
          <w:szCs w:val="32"/>
        </w:rPr>
        <w:t>学校名称：河北医科大学</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2.</w:t>
      </w:r>
      <w:r>
        <w:rPr>
          <w:rFonts w:ascii="FangSong" w:eastAsia="FangSong" w:hAnsi="FangSong" w:cs="FangSong"/>
          <w:sz w:val="32"/>
          <w:szCs w:val="32"/>
        </w:rPr>
        <w:t>学校代码：10089</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3.</w:t>
      </w:r>
      <w:r>
        <w:rPr>
          <w:rFonts w:ascii="FangSong" w:eastAsia="FangSong" w:hAnsi="FangSong" w:cs="FangSong"/>
          <w:sz w:val="32"/>
          <w:szCs w:val="32"/>
        </w:rPr>
        <w:t>办学层次：普通本科</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4.</w:t>
      </w:r>
      <w:r>
        <w:rPr>
          <w:rFonts w:ascii="FangSong" w:eastAsia="FangSong" w:hAnsi="FangSong" w:cs="FangSong"/>
          <w:sz w:val="32"/>
          <w:szCs w:val="32"/>
        </w:rPr>
        <w:t>办学类型：公办全日制普通高等学校</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5.</w:t>
      </w:r>
      <w:r>
        <w:rPr>
          <w:rFonts w:ascii="FangSong" w:eastAsia="FangSong" w:hAnsi="FangSong" w:cs="FangSong"/>
          <w:sz w:val="32"/>
          <w:szCs w:val="32"/>
        </w:rPr>
        <w:t>学校概况：河北医科大学是河北省重点骨干大学，是教育部、国家卫生计生委、河北省人民政府共建高校，具备培养学士、硕士、博士及博士后的完整医学教育体系。</w:t>
      </w:r>
    </w:p>
    <w:p>
      <w:pPr>
        <w:spacing w:before="240" w:after="315" w:line="555" w:lineRule="atLeast"/>
        <w:ind w:firstLine="645"/>
        <w:rPr>
          <w:rFonts w:ascii="Times New Roman" w:eastAsia="Times New Roman" w:hAnsi="Times New Roman" w:cs="Times New Roman"/>
        </w:rPr>
      </w:pPr>
      <w:r>
        <w:rPr>
          <w:rFonts w:ascii="SimHei" w:eastAsia="SimHei" w:hAnsi="SimHei" w:cs="SimHei"/>
          <w:b/>
          <w:bCs/>
          <w:sz w:val="32"/>
          <w:szCs w:val="32"/>
        </w:rPr>
        <w:t>二、招生专业、招生计划及学费标准</w:t>
      </w:r>
    </w:p>
    <w:tbl>
      <w:tblPr>
        <w:tblW w:w="9030" w:type="dxa"/>
        <w:tblCellSpacing w:w="0" w:type="dxa"/>
        <w:tblInd w:w="165" w:type="dxa"/>
        <w:tblCellMar>
          <w:top w:w="0" w:type="dxa"/>
          <w:left w:w="0" w:type="dxa"/>
          <w:bottom w:w="0" w:type="dxa"/>
          <w:right w:w="0" w:type="dxa"/>
        </w:tblCellMar>
      </w:tblPr>
      <w:tblGrid>
        <w:gridCol w:w="872"/>
        <w:gridCol w:w="2220"/>
        <w:gridCol w:w="2469"/>
        <w:gridCol w:w="782"/>
        <w:gridCol w:w="782"/>
        <w:gridCol w:w="782"/>
        <w:gridCol w:w="1626"/>
        <w:gridCol w:w="2700"/>
      </w:tblGrid>
      <w:tr>
        <w:tblPrEx>
          <w:tblW w:w="9030" w:type="dxa"/>
          <w:tblCellSpacing w:w="0" w:type="dxa"/>
          <w:tblInd w:w="165" w:type="dxa"/>
          <w:tblCellMar>
            <w:top w:w="0" w:type="dxa"/>
            <w:left w:w="0" w:type="dxa"/>
            <w:bottom w:w="0" w:type="dxa"/>
            <w:right w:w="0" w:type="dxa"/>
          </w:tblCellMar>
        </w:tblPrEx>
        <w:trPr>
          <w:trHeight w:val="990"/>
          <w:tblCellSpacing w:w="0" w:type="dxa"/>
        </w:trPr>
        <w:tc>
          <w:tcPr>
            <w:tcW w:w="9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序号</w:t>
            </w:r>
          </w:p>
        </w:tc>
        <w:tc>
          <w:tcPr>
            <w:tcW w:w="2280"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w:t>
            </w:r>
            <w:r>
              <w:rPr>
                <w:rFonts w:ascii="SimSun" w:eastAsia="SimSun" w:hAnsi="SimSun" w:cs="SimSun"/>
                <w:b/>
                <w:bCs/>
                <w:i w:val="0"/>
                <w:iCs w:val="0"/>
                <w:smallCaps w:val="0"/>
                <w:color w:val="000000"/>
              </w:rPr>
              <w:br/>
            </w:r>
            <w:r>
              <w:rPr>
                <w:rFonts w:ascii="SimSun" w:eastAsia="SimSun" w:hAnsi="SimSun" w:cs="SimSun"/>
                <w:b/>
                <w:bCs/>
                <w:i w:val="0"/>
                <w:iCs w:val="0"/>
                <w:smallCaps w:val="0"/>
                <w:color w:val="000000"/>
              </w:rPr>
              <w:t>  业名称</w:t>
            </w:r>
          </w:p>
        </w:tc>
        <w:tc>
          <w:tcPr>
            <w:tcW w:w="1185"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普通考生招生计划数</w:t>
            </w:r>
          </w:p>
        </w:tc>
        <w:tc>
          <w:tcPr>
            <w:tcW w:w="900"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学制</w:t>
            </w:r>
          </w:p>
        </w:tc>
        <w:tc>
          <w:tcPr>
            <w:tcW w:w="1200"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spacing w:after="240"/>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授予</w:t>
            </w:r>
          </w:p>
          <w:p>
            <w:pPr>
              <w:spacing w:before="240"/>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学位</w:t>
            </w:r>
          </w:p>
        </w:tc>
        <w:tc>
          <w:tcPr>
            <w:tcW w:w="1230"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spacing w:after="240"/>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考试</w:t>
            </w:r>
          </w:p>
          <w:p>
            <w:pPr>
              <w:spacing w:before="240"/>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类别</w:t>
            </w:r>
          </w:p>
        </w:tc>
        <w:tc>
          <w:tcPr>
            <w:tcW w:w="1800"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学费标准</w:t>
            </w:r>
            <w:r>
              <w:rPr>
                <w:rFonts w:ascii="SimSun" w:eastAsia="SimSun" w:hAnsi="SimSun" w:cs="SimSun"/>
                <w:b/>
                <w:bCs/>
                <w:i w:val="0"/>
                <w:iCs w:val="0"/>
                <w:smallCaps w:val="0"/>
                <w:color w:val="000000"/>
              </w:rPr>
              <w:br/>
            </w:r>
            <w:r>
              <w:rPr>
                <w:rFonts w:ascii="SimSun" w:eastAsia="SimSun" w:hAnsi="SimSun" w:cs="SimSun"/>
                <w:b/>
                <w:bCs/>
                <w:i w:val="0"/>
                <w:iCs w:val="0"/>
                <w:smallCaps w:val="0"/>
                <w:color w:val="000000"/>
              </w:rPr>
              <w:t>  （元/学年）</w:t>
            </w:r>
          </w:p>
        </w:tc>
        <w:tc>
          <w:tcPr>
            <w:tcW w:w="1515" w:type="dxa"/>
            <w:tcBorders>
              <w:top w:val="single" w:sz="24" w:space="0" w:color="000000"/>
              <w:bottom w:val="single" w:sz="24" w:space="0" w:color="000000"/>
              <w:right w:val="single" w:sz="24" w:space="0" w:color="000000"/>
            </w:tcBorders>
            <w:noWrap w:val="0"/>
            <w:tcMar>
              <w:top w:w="3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教学地点</w:t>
            </w: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1</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临床医学</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80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3</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5700</w:t>
            </w:r>
          </w:p>
        </w:tc>
        <w:tc>
          <w:tcPr>
            <w:tcW w:w="1515" w:type="dxa"/>
            <w:vMerge w:val="restart"/>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沧州医学高等专科学校</w:t>
            </w: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药学</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40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3</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医学检验技术</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30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4</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医学影像技术</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30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护理学</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90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6</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康复治疗学</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150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tcW w:w="1515" w:type="dxa"/>
            <w:vMerge w:val="restart"/>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xml:space="preserve">邢台医学高等专科学校 </w:t>
            </w:r>
          </w:p>
        </w:tc>
      </w:tr>
      <w:tr>
        <w:tblPrEx>
          <w:tblW w:w="9030" w:type="dxa"/>
          <w:tblCellSpacing w:w="0" w:type="dxa"/>
          <w:tblInd w:w="165" w:type="dxa"/>
          <w:tblCellMar>
            <w:top w:w="0" w:type="dxa"/>
            <w:left w:w="0" w:type="dxa"/>
            <w:bottom w:w="0" w:type="dxa"/>
            <w:right w:w="0" w:type="dxa"/>
          </w:tblCellMar>
        </w:tblPrEx>
        <w:trPr>
          <w:trHeight w:val="405"/>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7</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助产学</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100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r>
        <w:tblPrEx>
          <w:tblW w:w="9030" w:type="dxa"/>
          <w:tblCellSpacing w:w="0" w:type="dxa"/>
          <w:tblInd w:w="165" w:type="dxa"/>
          <w:tblCellMar>
            <w:top w:w="0" w:type="dxa"/>
            <w:left w:w="0" w:type="dxa"/>
            <w:bottom w:w="0" w:type="dxa"/>
            <w:right w:w="0" w:type="dxa"/>
          </w:tblCellMar>
        </w:tblPrEx>
        <w:trPr>
          <w:trHeight w:val="750"/>
          <w:tblCellSpacing w:w="0" w:type="dxa"/>
        </w:trPr>
        <w:tc>
          <w:tcPr>
            <w:tcW w:w="930" w:type="dxa"/>
            <w:tcBorders>
              <w:left w:val="single" w:sz="24" w:space="0" w:color="000000"/>
              <w:bottom w:val="single" w:sz="24" w:space="0" w:color="000000"/>
              <w:right w:val="single" w:sz="24" w:space="0" w:color="000000"/>
            </w:tcBorders>
            <w:noWrap w:val="0"/>
            <w:tcMar>
              <w:top w:w="0" w:type="dxa"/>
              <w:left w:w="13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8</w:t>
            </w:r>
          </w:p>
        </w:tc>
        <w:tc>
          <w:tcPr>
            <w:tcW w:w="2280" w:type="dxa"/>
            <w:tcBorders>
              <w:bottom w:val="single" w:sz="24" w:space="0" w:color="000000"/>
              <w:right w:val="single" w:sz="24" w:space="0" w:color="000000"/>
            </w:tcBorders>
            <w:noWrap w:val="0"/>
            <w:tcMar>
              <w:top w:w="0" w:type="dxa"/>
              <w:left w:w="105" w:type="dxa"/>
              <w:bottom w:w="30" w:type="dxa"/>
              <w:right w:w="13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护理学</w:t>
            </w:r>
            <w:r>
              <w:rPr>
                <w:rFonts w:ascii="SimSun" w:eastAsia="SimSun" w:hAnsi="SimSun" w:cs="SimSun"/>
                <w:b w:val="0"/>
                <w:bCs w:val="0"/>
                <w:i w:val="0"/>
                <w:iCs w:val="0"/>
                <w:smallCaps w:val="0"/>
                <w:color w:val="000000"/>
              </w:rPr>
              <w:br/>
            </w:r>
            <w:r>
              <w:rPr>
                <w:rFonts w:ascii="SimSun" w:eastAsia="SimSun" w:hAnsi="SimSun" w:cs="SimSun"/>
                <w:b w:val="0"/>
                <w:bCs w:val="0"/>
                <w:i w:val="0"/>
                <w:iCs w:val="0"/>
                <w:smallCaps w:val="0"/>
                <w:color w:val="000000"/>
              </w:rPr>
              <w:t>  （应用型实验班）</w:t>
            </w:r>
          </w:p>
        </w:tc>
        <w:tc>
          <w:tcPr>
            <w:tcW w:w="1185"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180</w:t>
            </w:r>
          </w:p>
        </w:tc>
        <w:tc>
          <w:tcPr>
            <w:tcW w:w="9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2</w:t>
            </w:r>
          </w:p>
        </w:tc>
        <w:tc>
          <w:tcPr>
            <w:tcW w:w="12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理学</w:t>
            </w:r>
          </w:p>
        </w:tc>
        <w:tc>
          <w:tcPr>
            <w:tcW w:w="123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医学</w:t>
            </w:r>
          </w:p>
        </w:tc>
        <w:tc>
          <w:tcPr>
            <w:tcW w:w="1800" w:type="dxa"/>
            <w:tcBorders>
              <w:bottom w:val="single" w:sz="24" w:space="0" w:color="000000"/>
              <w:right w:val="single" w:sz="24" w:space="0" w:color="000000"/>
            </w:tcBorders>
            <w:noWrap w:val="0"/>
            <w:tcMar>
              <w:top w:w="0" w:type="dxa"/>
              <w:left w:w="105" w:type="dxa"/>
              <w:bottom w:w="30" w:type="dxa"/>
              <w:right w:w="135" w:type="dxa"/>
            </w:tcMar>
            <w:vAlign w:val="center"/>
            <w:hideMark/>
          </w:tcPr>
          <w:p>
            <w:pPr>
              <w:jc w:val="cente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5200</w:t>
            </w:r>
          </w:p>
        </w:tc>
        <w:tc>
          <w:tcPr>
            <w:vMerge/>
            <w:tcBorders>
              <w:bottom w:val="single" w:sz="24" w:space="0" w:color="000000"/>
              <w:right w:val="single" w:sz="24" w:space="0" w:color="000000"/>
            </w:tcBorders>
            <w:vAlign w:val="center"/>
            <w:hideMark/>
          </w:tcPr>
          <w:p>
            <w:pPr>
              <w:rPr>
                <w:rFonts w:ascii="SimSun" w:eastAsia="SimSun" w:hAnsi="SimSun" w:cs="SimSun"/>
                <w:b w:val="0"/>
                <w:bCs w:val="0"/>
                <w:i w:val="0"/>
                <w:iCs w:val="0"/>
                <w:smallCaps w:val="0"/>
                <w:color w:val="000000"/>
              </w:rPr>
            </w:pPr>
          </w:p>
        </w:tc>
      </w:tr>
    </w:tbl>
    <w:p>
      <w:pPr>
        <w:spacing w:before="240" w:after="240" w:line="555" w:lineRule="atLeast"/>
        <w:ind w:firstLine="645"/>
        <w:rPr>
          <w:rFonts w:ascii="Times New Roman" w:eastAsia="Times New Roman" w:hAnsi="Times New Roman" w:cs="Times New Roman"/>
        </w:rPr>
      </w:pPr>
      <w:r>
        <w:rPr>
          <w:rFonts w:ascii="FangSong" w:eastAsia="FangSong" w:hAnsi="FangSong" w:cs="FangSong"/>
          <w:color w:val="FFFFFF"/>
          <w:sz w:val="32"/>
          <w:szCs w:val="32"/>
        </w:rPr>
        <w:t>最终招生计划以河北省教育厅公布为准。</w:t>
      </w:r>
    </w:p>
    <w:p>
      <w:pPr>
        <w:spacing w:before="240" w:after="240" w:line="555" w:lineRule="atLeast"/>
        <w:ind w:firstLine="645"/>
        <w:rPr>
          <w:rFonts w:ascii="Times New Roman" w:eastAsia="Times New Roman" w:hAnsi="Times New Roman" w:cs="Times New Roman"/>
        </w:rPr>
      </w:pPr>
      <w:r>
        <w:rPr>
          <w:rFonts w:ascii="SimHei" w:eastAsia="SimHei" w:hAnsi="SimHei" w:cs="SimHei"/>
          <w:b/>
          <w:bCs/>
          <w:sz w:val="32"/>
          <w:szCs w:val="32"/>
        </w:rPr>
        <w:t>三、录取规则</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1.</w:t>
      </w:r>
      <w:r>
        <w:rPr>
          <w:rFonts w:ascii="FangSong" w:eastAsia="FangSong" w:hAnsi="FangSong" w:cs="FangSong"/>
          <w:sz w:val="32"/>
          <w:szCs w:val="32"/>
        </w:rPr>
        <w:t>学校普通专升本招生录取工作坚持公平竞争、公正选拔、公开透明的原则，德智体美劳全面考核、综合评价、择优录取，</w:t>
      </w:r>
      <w:r>
        <w:rPr>
          <w:rFonts w:ascii="FangSong" w:eastAsia="FangSong" w:hAnsi="FangSong" w:cs="FangSong"/>
          <w:sz w:val="32"/>
          <w:szCs w:val="32"/>
        </w:rPr>
        <w:t>并接受纪检监察部门、考生、家长及社会各界监督。</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2.</w:t>
      </w:r>
      <w:r>
        <w:rPr>
          <w:rFonts w:ascii="FangSong" w:eastAsia="FangSong" w:hAnsi="FangSong" w:cs="FangSong"/>
          <w:sz w:val="32"/>
          <w:szCs w:val="32"/>
        </w:rPr>
        <w:t>录取对象为河北省普通高校专升本教育考试的考生。</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3.</w:t>
      </w:r>
      <w:r>
        <w:rPr>
          <w:rFonts w:ascii="FangSong" w:eastAsia="FangSong" w:hAnsi="FangSong" w:cs="FangSong"/>
          <w:sz w:val="32"/>
          <w:szCs w:val="32"/>
        </w:rPr>
        <w:t>按照国家考试招生规定的程序、要求，由省教育考试院组织统一录取。按照上线考生考试总成绩根据考生志愿实行平行志愿投档。</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4.</w:t>
      </w:r>
      <w:r>
        <w:rPr>
          <w:rFonts w:ascii="FangSong" w:eastAsia="FangSong" w:hAnsi="FangSong" w:cs="FangSong"/>
          <w:sz w:val="32"/>
          <w:szCs w:val="32"/>
        </w:rPr>
        <w:t>普通考生、原建档立卡专项计划考生，学校执行河北省普通专科升本科录取投档规则，考生公共文化和专业综合（职业适应性）成绩均需达到河北省教育考试院公布的各专项、各专业最低录取控制分数线。各专项、各专业进档考生按投档规则计算的成绩从高分到低分排序，遵循考生志愿顺序进行录取，不设专业志愿分数级差；若多名考生的投档规则计算的成绩相同，顺延录取。</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5.</w:t>
      </w:r>
      <w:r>
        <w:rPr>
          <w:rFonts w:ascii="FangSong" w:eastAsia="FangSong" w:hAnsi="FangSong" w:cs="FangSong"/>
          <w:sz w:val="32"/>
          <w:szCs w:val="32"/>
        </w:rPr>
        <w:t>退役大学生士兵考生专业综合（职业适应性）考查成绩需达到本校的最低投档分数线。各专业进档考生按投档规则计算的成绩从高分到低分排序，遵循考生志愿顺序，综合在校期间成绩、服役期间表现等进行录取，不设专业志愿分数级差。若多名考生的投档规则计算的成绩相同，顺延录取。</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6.</w:t>
      </w:r>
      <w:r>
        <w:rPr>
          <w:rFonts w:ascii="FangSong" w:eastAsia="FangSong" w:hAnsi="FangSong" w:cs="FangSong"/>
          <w:sz w:val="32"/>
          <w:szCs w:val="32"/>
        </w:rPr>
        <w:t>招生体检标准：遵照教育部、卫生部、中国残疾人联合会印发的《普通高等学校招生体检工作指导意见》和教育部办公厅、卫生部办公厅公布的《关于普通高等学校招生学生入学身体检查取消乙肝项目检测有关问题的通知》（教学厅〔2010〕2号）的有关规定执行。</w:t>
      </w:r>
    </w:p>
    <w:p>
      <w:pPr>
        <w:spacing w:before="240" w:after="240" w:line="555" w:lineRule="atLeast"/>
        <w:ind w:firstLine="645"/>
        <w:rPr>
          <w:rFonts w:ascii="Times New Roman" w:eastAsia="Times New Roman" w:hAnsi="Times New Roman" w:cs="Times New Roman"/>
        </w:rPr>
      </w:pPr>
      <w:r>
        <w:rPr>
          <w:rFonts w:ascii="SimHei" w:eastAsia="SimHei" w:hAnsi="SimHei" w:cs="SimHei"/>
          <w:b/>
          <w:bCs/>
          <w:sz w:val="32"/>
          <w:szCs w:val="32"/>
        </w:rPr>
        <w:t>四、学籍学历管理</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color w:val="000000"/>
          <w:sz w:val="32"/>
          <w:szCs w:val="32"/>
        </w:rPr>
        <w:t>1.</w:t>
      </w:r>
      <w:r>
        <w:rPr>
          <w:rFonts w:ascii="FangSong" w:eastAsia="FangSong" w:hAnsi="FangSong" w:cs="FangSong"/>
          <w:color w:val="000000"/>
          <w:sz w:val="32"/>
          <w:szCs w:val="32"/>
        </w:rPr>
        <w:t>入学报到及学籍注册。凡我校按国家招生规定录取的专升本新生，须持录取通知书、准考证、身份证、专科毕业证书等证件，按学校有关要求和规定的期限到校办理入学手续。被录取的考生应在报到入学前取得专科毕业证书，因故不能如期毕业的，取消其专升本入学资格。学校严格按照《普通高等学校学生管理规定》（教育部令第41号）和教育部学籍电子注册有关规定，认真开展新生入学资格复查，审验合格的予以办理入学手续。在新生入校后3个月内，按照国家、学校招生规定及《河北医科大学普通本专科学生学籍管理规定》，对学生录取手续及程序、录取资格、前置学历等进行复查。复查合格者予以注册，取得学籍；复查不合格者，不予学籍注册。</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color w:val="000000"/>
          <w:sz w:val="32"/>
          <w:szCs w:val="32"/>
        </w:rPr>
        <w:t>2.</w:t>
      </w:r>
      <w:r>
        <w:rPr>
          <w:rFonts w:ascii="FangSong" w:eastAsia="FangSong" w:hAnsi="FangSong" w:cs="FangSong"/>
          <w:color w:val="000000"/>
          <w:sz w:val="32"/>
          <w:szCs w:val="32"/>
        </w:rPr>
        <w:t>毕业证书及学历注册。普通专升本学生在学校规定的学习年限内，修完教育教学计划规定内容，成绩合格，达到学校毕业要求的，学校准予毕业。学校严格按照招生时确定的办学类型和学习形式，以及学生招生录取时填报的个人信息，填写、颁发学历证书。在毕业证书中标注“在本校XX专业专科起点本科学习”。</w:t>
      </w:r>
      <w:r>
        <w:rPr>
          <w:rFonts w:ascii="FangSong" w:eastAsia="FangSong" w:hAnsi="FangSong" w:cs="FangSong"/>
          <w:color w:val="000000"/>
          <w:sz w:val="32"/>
          <w:szCs w:val="32"/>
        </w:rPr>
        <w:t>符合学士学位授予条件的，授予学士学位，颁发河北医科大学学士学位证书。</w:t>
      </w:r>
    </w:p>
    <w:p>
      <w:pPr>
        <w:spacing w:before="240" w:after="240" w:line="555" w:lineRule="atLeast"/>
        <w:ind w:firstLine="645"/>
        <w:rPr>
          <w:rFonts w:ascii="Times New Roman" w:eastAsia="Times New Roman" w:hAnsi="Times New Roman" w:cs="Times New Roman"/>
        </w:rPr>
      </w:pPr>
      <w:r>
        <w:rPr>
          <w:rFonts w:ascii="SimHei" w:eastAsia="SimHei" w:hAnsi="SimHei" w:cs="SimHei"/>
          <w:b/>
          <w:bCs/>
          <w:sz w:val="32"/>
          <w:szCs w:val="32"/>
        </w:rPr>
        <w:t>五、其他</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1.</w:t>
      </w:r>
      <w:r>
        <w:rPr>
          <w:rFonts w:ascii="FangSong" w:eastAsia="FangSong" w:hAnsi="FangSong" w:cs="FangSong"/>
          <w:sz w:val="32"/>
          <w:szCs w:val="32"/>
        </w:rPr>
        <w:t>本章程若有与上级教育主管部门政策冲突之处，以上级教育主管部门政策为准。</w:t>
      </w:r>
    </w:p>
    <w:p>
      <w:pPr>
        <w:spacing w:before="240" w:after="240" w:line="555" w:lineRule="atLeast"/>
        <w:ind w:firstLine="645"/>
        <w:rPr>
          <w:rFonts w:ascii="Times New Roman" w:eastAsia="Times New Roman" w:hAnsi="Times New Roman" w:cs="Times New Roman"/>
        </w:rPr>
      </w:pPr>
      <w:r>
        <w:rPr>
          <w:rFonts w:ascii="FangSong" w:eastAsia="FangSong" w:hAnsi="FangSong" w:cs="FangSong"/>
          <w:sz w:val="32"/>
          <w:szCs w:val="32"/>
        </w:rPr>
        <w:t>2.</w:t>
      </w:r>
      <w:r>
        <w:rPr>
          <w:rFonts w:ascii="FangSong" w:eastAsia="FangSong" w:hAnsi="FangSong" w:cs="FangSong"/>
          <w:sz w:val="32"/>
          <w:szCs w:val="32"/>
        </w:rPr>
        <w:t>本章程自教育厅核准发布之日起生效。</w:t>
      </w:r>
    </w:p>
    <w:p>
      <w:pPr>
        <w:spacing w:before="240" w:after="240" w:line="555" w:lineRule="atLeast"/>
        <w:ind w:firstLine="645"/>
        <w:rPr>
          <w:rFonts w:ascii="Times New Roman" w:eastAsia="Times New Roman" w:hAnsi="Times New Roman" w:cs="Times New Roman"/>
        </w:rPr>
      </w:pPr>
      <w:r>
        <w:rPr>
          <w:rFonts w:ascii="Calibri" w:eastAsia="Calibri" w:hAnsi="Calibri" w:cs="Calibri"/>
          <w:sz w:val="32"/>
          <w:szCs w:val="32"/>
        </w:rPr>
        <w:t> </w:t>
      </w:r>
    </w:p>
    <w:p>
      <w:pPr>
        <w:spacing w:before="240" w:after="240" w:line="555" w:lineRule="atLeast"/>
        <w:ind w:firstLine="630"/>
        <w:rPr>
          <w:rFonts w:ascii="Times New Roman" w:eastAsia="Times New Roman" w:hAnsi="Times New Roman" w:cs="Times New Roman"/>
        </w:rPr>
      </w:pPr>
      <w:r>
        <w:rPr>
          <w:rFonts w:ascii="FangSong" w:eastAsia="FangSong" w:hAnsi="FangSong" w:cs="FangSong"/>
          <w:sz w:val="32"/>
          <w:szCs w:val="32"/>
        </w:rPr>
        <w:t>招生咨询电话:</w:t>
      </w:r>
      <w:r>
        <w:rPr>
          <w:rFonts w:ascii="FangSong" w:eastAsia="FangSong" w:hAnsi="FangSong" w:cs="FangSong"/>
          <w:sz w:val="32"/>
          <w:szCs w:val="32"/>
        </w:rPr>
        <w:t xml:space="preserve"> 0311-86266317</w:t>
      </w:r>
    </w:p>
    <w:p>
      <w:pPr>
        <w:spacing w:before="240" w:after="240" w:line="555" w:lineRule="atLeast"/>
        <w:ind w:firstLine="630"/>
        <w:rPr>
          <w:rFonts w:ascii="Times New Roman" w:eastAsia="Times New Roman" w:hAnsi="Times New Roman" w:cs="Times New Roman"/>
        </w:rPr>
      </w:pPr>
      <w:r>
        <w:rPr>
          <w:rFonts w:ascii="FangSong" w:eastAsia="FangSong" w:hAnsi="FangSong" w:cs="FangSong"/>
          <w:sz w:val="32"/>
          <w:szCs w:val="32"/>
        </w:rPr>
        <w:t>网址: https://zsb.hebmu.edu.cn</w:t>
      </w:r>
      <w:r>
        <w:rPr>
          <w:rFonts w:ascii="Calibri" w:eastAsia="Calibri" w:hAnsi="Calibri" w:cs="Calibri"/>
          <w:sz w:val="32"/>
          <w:szCs w:val="32"/>
        </w:rPr>
        <w:t> </w:t>
      </w:r>
      <w:r>
        <w:rPr>
          <w:rFonts w:ascii="FangSong" w:eastAsia="FangSong" w:hAnsi="FangSong" w:cs="FangSong"/>
          <w:sz w:val="32"/>
          <w:szCs w:val="32"/>
        </w:rPr>
        <w:t xml:space="preserve"> </w:t>
      </w:r>
      <w:r>
        <w:rPr>
          <w:rFonts w:ascii="Calibri" w:eastAsia="Calibri" w:hAnsi="Calibri" w:cs="Calibri"/>
          <w:sz w:val="32"/>
          <w:szCs w:val="32"/>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物理学科卓越人才培养计划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2/0220/21755.html" TargetMode="External" /><Relationship Id="rId5" Type="http://schemas.openxmlformats.org/officeDocument/2006/relationships/hyperlink" Target="http://www.gk114.com/a/gxzs/zszc/beijing/2022/0328/2199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