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河北美术学院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年艺术类本科招生专业考试要求</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各位考生：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进一步加强和改进普通高等学校艺术类专业考试招生工作的指导意见》(教学〔2021〕3号)和《教育部办公厅关于做好2023年普通高校部分特殊类型招生工作的通知》(教学厅〔2022〕8号)等文件精神，统筹做好疫情防控常态化形势下考试招生，经学校党政联席会研究决定，2023年艺术类专业校考采用线上考试，现将本科招生专业考试要求公告如下：</w:t>
      </w:r>
    </w:p>
    <w:tbl>
      <w:tblPr>
        <w:tblW w:w="4000" w:type="pct"/>
        <w:jc w:val="center"/>
        <w:tblInd w:w="135"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20"/>
        <w:gridCol w:w="3580"/>
        <w:gridCol w:w="3660"/>
        <w:gridCol w:w="2220"/>
        <w:gridCol w:w="6780"/>
      </w:tblGrid>
      <w:tr>
        <w:tblPrEx>
          <w:tblW w:w="4000" w:type="pct"/>
          <w:jc w:val="center"/>
          <w:tblInd w:w="135"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25"/>
          <w:jc w:val="center"/>
        </w:trPr>
        <w:tc>
          <w:tcPr>
            <w:tcW w:w="1110" w:type="dxa"/>
            <w:tcBorders>
              <w:top w:val="single" w:sz="12" w:space="0" w:color="000000"/>
              <w:left w:val="single" w:sz="12" w:space="0" w:color="000000"/>
              <w:bottom w:val="single" w:sz="12" w:space="0" w:color="000000"/>
              <w:right w:val="single" w:sz="12" w:space="0" w:color="000000"/>
            </w:tcBorders>
            <w:noWrap w:val="0"/>
            <w:tcMar>
              <w:top w:w="1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省份</w:t>
            </w:r>
          </w:p>
        </w:tc>
        <w:tc>
          <w:tcPr>
            <w:tcW w:w="3075" w:type="dxa"/>
            <w:tcBorders>
              <w:top w:val="single" w:sz="12" w:space="0" w:color="000000"/>
              <w:left w:val="single" w:sz="12" w:space="0" w:color="000000"/>
              <w:bottom w:val="single" w:sz="12" w:space="0" w:color="000000"/>
              <w:right w:val="single" w:sz="12" w:space="0" w:color="000000"/>
            </w:tcBorders>
            <w:noWrap w:val="0"/>
            <w:tcMar>
              <w:top w:w="1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专业名称</w:t>
            </w:r>
          </w:p>
        </w:tc>
        <w:tc>
          <w:tcPr>
            <w:tcW w:w="2940" w:type="dxa"/>
            <w:tcBorders>
              <w:top w:val="single" w:sz="12" w:space="0" w:color="000000"/>
              <w:left w:val="single" w:sz="12" w:space="0" w:color="000000"/>
              <w:bottom w:val="single" w:sz="12" w:space="0" w:color="000000"/>
              <w:right w:val="single" w:sz="12" w:space="0" w:color="000000"/>
            </w:tcBorders>
            <w:noWrap w:val="0"/>
            <w:tcMar>
              <w:top w:w="1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子科类对照</w:t>
            </w:r>
          </w:p>
        </w:tc>
        <w:tc>
          <w:tcPr>
            <w:tcW w:w="1935" w:type="dxa"/>
            <w:tcBorders>
              <w:top w:val="single" w:sz="12" w:space="0" w:color="000000"/>
              <w:left w:val="single" w:sz="12" w:space="0" w:color="000000"/>
              <w:bottom w:val="single" w:sz="12" w:space="0" w:color="000000"/>
              <w:right w:val="single" w:sz="12" w:space="0" w:color="000000"/>
            </w:tcBorders>
            <w:noWrap w:val="0"/>
            <w:tcMar>
              <w:top w:w="1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考试类型</w:t>
            </w:r>
          </w:p>
        </w:tc>
        <w:tc>
          <w:tcPr>
            <w:tcW w:w="2505" w:type="dxa"/>
            <w:tcBorders>
              <w:top w:val="single" w:sz="12" w:space="0" w:color="000000"/>
              <w:left w:val="single" w:sz="12" w:space="0" w:color="000000"/>
              <w:bottom w:val="single" w:sz="12" w:space="0" w:color="000000"/>
              <w:right w:val="single" w:sz="12" w:space="0" w:color="000000"/>
            </w:tcBorders>
            <w:noWrap w:val="0"/>
            <w:tcMar>
              <w:top w:w="1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备注</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天津</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河北</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雕塑</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服装与服饰设计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戏剧影视美术设计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180"/>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服装与服饰设计(中外合作办学)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绘画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中国画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漫画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新媒体艺术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视觉传达设计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产品设计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包装设计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艺术设计学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公共艺术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工艺美术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戏剧影视导演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戏剧与影视学类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录音艺术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声乐</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150"/>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艺术管理</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仅高考文化课</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5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艺术史论</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仅高考文化课</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非物质文化遗产保护</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仅高考文化课</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山西</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内蒙古</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辽宁</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吉林</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黑龙江</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江苏</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雕塑</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安徽</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模块六(书法学等)</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5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模块七(美术学、设计学等)</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10"/>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模块五(表演、导演等)</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180"/>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模块七(美术学、设计学等)</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福建</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编导</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江西</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16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戏剧影视文学（广播电视编导）</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山东</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雕塑</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服装与服饰设计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戏剧影视美术设计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戏剧影视表演类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河南</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编导制作类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戏剧影视美术设计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湖北</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设计学类（本科）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设计学类（本科）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5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湖南</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书法艺术和书法教育类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编导类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表演类（戏剧表演）</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广东</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广西</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广播影视编导类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广播影视编导类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海南</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重庆</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四川</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设计学类（本科）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540"/>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该专业文化成绩控制线执行四川省设计学类录取控制分数线。</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表演(戏剧影视表演)</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绘画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设计学类（本科）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贵州</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云南</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数字媒体艺术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设计学类（本科）</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陕西</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播音编导类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表演</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000000"/>
              </w:rPr>
              <w:t>　只招收艺术文考生</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bCs/>
                <w:i w:val="0"/>
                <w:iCs w:val="0"/>
                <w:smallCaps w:val="0"/>
                <w:color w:val="000000"/>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甘肃</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动画</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青海</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视觉传达设计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宁夏</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美术与设计学类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播音与主持艺术</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tcW w:w="1110" w:type="dxa"/>
            <w:vMerge w:val="restart"/>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新疆</w:t>
            </w: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书法学</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书法类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广播电视编导</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艺术与科技</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影视摄影与制作</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无省级统考</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校考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225"/>
          <w:jc w:val="center"/>
        </w:trPr>
        <w:tc>
          <w:tcPr>
            <w:vMerge/>
            <w:tcBorders>
              <w:left w:val="single" w:sz="12" w:space="0" w:color="000000"/>
              <w:bottom w:val="single" w:sz="12" w:space="0" w:color="000000"/>
              <w:right w:val="single" w:sz="12" w:space="0" w:color="000000"/>
            </w:tcBorders>
            <w:vAlign w:val="center"/>
            <w:hideMark/>
          </w:tcPr>
          <w:p>
            <w:pPr>
              <w:rPr>
                <w:rFonts w:ascii="Microsoft YaHei" w:eastAsia="Microsoft YaHei" w:hAnsi="Microsoft YaHei" w:cs="Microsoft YaHei"/>
                <w:b w:val="0"/>
                <w:bCs w:val="0"/>
                <w:i w:val="0"/>
                <w:iCs w:val="0"/>
                <w:smallCaps w:val="0"/>
                <w:color w:val="666666"/>
              </w:rPr>
            </w:pPr>
          </w:p>
        </w:tc>
        <w:tc>
          <w:tcPr>
            <w:tcW w:w="307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环境设计</w:t>
            </w:r>
          </w:p>
        </w:tc>
        <w:tc>
          <w:tcPr>
            <w:tcW w:w="2940"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美术与设计类</w:t>
            </w:r>
          </w:p>
        </w:tc>
        <w:tc>
          <w:tcPr>
            <w:tcW w:w="193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000000"/>
              </w:rPr>
              <w:t>省统考或校级联考</w:t>
            </w:r>
          </w:p>
        </w:tc>
        <w:tc>
          <w:tcPr>
            <w:tcW w:w="2505" w:type="dxa"/>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ind w:firstLine="48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4000" w:type="pct"/>
          <w:jc w:val="center"/>
          <w:tblInd w:w="135" w:type="dxa"/>
          <w:tblCellMar>
            <w:top w:w="0" w:type="dxa"/>
            <w:left w:w="0" w:type="dxa"/>
            <w:bottom w:w="0" w:type="dxa"/>
            <w:right w:w="0" w:type="dxa"/>
          </w:tblCellMar>
        </w:tblPrEx>
        <w:trPr>
          <w:trHeight w:val="375"/>
          <w:jc w:val="center"/>
        </w:trPr>
        <w:tc>
          <w:tcPr>
            <w:tcW w:w="10605" w:type="dxa"/>
            <w:gridSpan w:val="5"/>
            <w:tcBorders>
              <w:left w:val="single" w:sz="12" w:space="0" w:color="000000"/>
              <w:bottom w:val="single" w:sz="12" w:space="0" w:color="000000"/>
              <w:right w:val="single" w:sz="12" w:space="0" w:color="000000"/>
            </w:tcBorders>
            <w:noWrap w:val="0"/>
            <w:tcMar>
              <w:top w:w="5" w:type="dxa"/>
              <w:left w:w="120" w:type="dxa"/>
              <w:bottom w:w="15" w:type="dxa"/>
              <w:right w:w="120" w:type="dxa"/>
            </w:tcMar>
            <w:vAlign w:val="bottom"/>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bCs/>
                <w:i w:val="0"/>
                <w:iCs w:val="0"/>
                <w:smallCaps w:val="0"/>
                <w:color w:val="333333"/>
              </w:rPr>
              <w:t>注</w:t>
            </w:r>
            <w:r>
              <w:rPr>
                <w:rFonts w:ascii="Microsoft YaHei" w:eastAsia="Microsoft YaHei" w:hAnsi="Microsoft YaHei" w:cs="Microsoft YaHei"/>
                <w:b w:val="0"/>
                <w:bCs w:val="0"/>
                <w:i w:val="0"/>
                <w:iCs w:val="0"/>
                <w:smallCaps w:val="0"/>
                <w:color w:val="333333"/>
              </w:rPr>
              <w:t>：1.2023年普通高校招生专业、计划以生源省招生考试部门公布为准。</w:t>
            </w:r>
          </w:p>
          <w:p>
            <w:pPr>
              <w:pBdr>
                <w:top w:val="none" w:sz="0" w:space="0" w:color="auto"/>
                <w:left w:val="none" w:sz="0" w:space="0" w:color="auto"/>
                <w:bottom w:val="none" w:sz="0" w:space="0" w:color="auto"/>
                <w:right w:val="none" w:sz="0" w:space="0" w:color="auto"/>
              </w:pBdr>
              <w:spacing w:before="0" w:after="0" w:line="315" w:lineRule="atLeast"/>
              <w:ind w:left="0" w:right="0" w:firstLine="0"/>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2.专业考试类型为“校考”的专业：</w:t>
            </w:r>
            <w:r>
              <w:rPr>
                <w:rFonts w:ascii="Microsoft YaHei" w:eastAsia="Microsoft YaHei" w:hAnsi="Microsoft YaHei" w:cs="Microsoft YaHei"/>
                <w:b w:val="0"/>
                <w:bCs w:val="0"/>
                <w:i w:val="0"/>
                <w:iCs w:val="0"/>
                <w:smallCaps w:val="0"/>
                <w:color w:val="000000"/>
              </w:rPr>
              <w:t>考生报考艺术统考涉及到的校考专业，须相应类别统考合格</w:t>
            </w:r>
            <w:r>
              <w:rPr>
                <w:rFonts w:ascii="Microsoft YaHei" w:eastAsia="Microsoft YaHei" w:hAnsi="Microsoft YaHei" w:cs="Microsoft YaHei"/>
                <w:b w:val="0"/>
                <w:bCs w:val="0"/>
                <w:i w:val="0"/>
                <w:iCs w:val="0"/>
                <w:smallCaps w:val="0"/>
                <w:color w:val="333333"/>
              </w:rPr>
              <w:t>；省统考子科类为“无省级统考”的专业，考生无需省统考成绩。</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其它事项：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1.具体考试安排和科目要求等信息请考生关注我校官方网站。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2.专科专业考试类型均为“省统考或校级联考”，具体招生信息以生源省招生考试部门公布为准。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3.学校保留因疫情等不可抗力因素调整考试方案的权利。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4.咨询电话：0311-88651148、88596153</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08/19789.html" TargetMode="External" /><Relationship Id="rId18" Type="http://schemas.openxmlformats.org/officeDocument/2006/relationships/hyperlink" Target="http://www.gk114.com/a/gxzs/zszc/hebei/2020/0723/17542.html" TargetMode="External" /><Relationship Id="rId19" Type="http://schemas.openxmlformats.org/officeDocument/2006/relationships/hyperlink" Target="http://www.gk114.com/a/gxzs/zszc/hebei/2020/0707/17381.html" TargetMode="External" /><Relationship Id="rId2" Type="http://schemas.openxmlformats.org/officeDocument/2006/relationships/webSettings" Target="webSettings.xml" /><Relationship Id="rId20" Type="http://schemas.openxmlformats.org/officeDocument/2006/relationships/hyperlink" Target="http://www.gk114.com/a/gxzs/zszc/hebei/2020/0623/1693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2/0601/22638.html" TargetMode="External" /><Relationship Id="rId5" Type="http://schemas.openxmlformats.org/officeDocument/2006/relationships/hyperlink" Target="http://www.gk114.com/a/gxzs/zszc/hebei/2023/0109/24049.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7.html" TargetMode="External" /><Relationship Id="rId8" Type="http://schemas.openxmlformats.org/officeDocument/2006/relationships/hyperlink" Target="http://www.gk114.com/a/gxzs/zszc/hebei/2022/0601/22636.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