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河南科技大学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为了维护学校和考生的合法权益，保证我校</w:t>
      </w:r>
      <w:r>
        <w:rPr>
          <w:rFonts w:ascii="Times New Roman" w:eastAsia="Times New Roman" w:hAnsi="Times New Roman" w:cs="Times New Roman"/>
        </w:rPr>
        <w:t>2021</w:t>
      </w:r>
      <w:r>
        <w:rPr>
          <w:rFonts w:ascii="SimSun" w:eastAsia="SimSun" w:hAnsi="SimSun" w:cs="SimSun"/>
        </w:rPr>
        <w:t>年全日制普通本科招生工作顺利进行，根据《中华人民共和国教育法》、《中华人民共和国高等教育法》和教育部有关规定，结合学校实际情况，特制定本章程。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学校的全称为河南科技大学（国标代码</w:t>
      </w:r>
      <w:r>
        <w:rPr>
          <w:rFonts w:ascii="Times New Roman" w:eastAsia="Times New Roman" w:hAnsi="Times New Roman" w:cs="Times New Roman"/>
        </w:rPr>
        <w:t>10464</w:t>
      </w:r>
      <w:r>
        <w:rPr>
          <w:rFonts w:ascii="SimSun" w:eastAsia="SimSun" w:hAnsi="SimSun" w:cs="SimSun"/>
        </w:rPr>
        <w:t>），注册地址为河南省洛阳市洛龙区开元大道</w:t>
      </w:r>
      <w:r>
        <w:rPr>
          <w:rFonts w:ascii="Times New Roman" w:eastAsia="Times New Roman" w:hAnsi="Times New Roman" w:cs="Times New Roman"/>
        </w:rPr>
        <w:t>263</w:t>
      </w:r>
      <w:r>
        <w:rPr>
          <w:rFonts w:ascii="SimSun" w:eastAsia="SimSun" w:hAnsi="SimSun" w:cs="SimSun"/>
        </w:rPr>
        <w:t>号，邮政编码</w:t>
      </w:r>
      <w:r>
        <w:rPr>
          <w:rFonts w:ascii="Times New Roman" w:eastAsia="Times New Roman" w:hAnsi="Times New Roman" w:cs="Times New Roman"/>
        </w:rPr>
        <w:t>471023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河南科技大学是公办、全日制普通高等学校，是国家国防科技工业局与河南省人民政府共建高校、国家中西部高校基础能力建设工程支持高校、全国深化创新创业教育改革示范高校。学校已初步发展成为一所工科优势突出、理工农医文等多学科协调发展的高水平综合性大学，涵盖理学、工学、农学、医学、经济学、管理学、文学、法学、历史学、教育学、艺术学等</w:t>
      </w:r>
      <w:r>
        <w:rPr>
          <w:rFonts w:ascii="Times New Roman" w:eastAsia="Times New Roman" w:hAnsi="Times New Roman" w:cs="Times New Roman"/>
        </w:rPr>
        <w:t>11</w:t>
      </w:r>
      <w:r>
        <w:rPr>
          <w:rFonts w:ascii="SimSun" w:eastAsia="SimSun" w:hAnsi="SimSun" w:cs="SimSun"/>
        </w:rPr>
        <w:t>大学科门类。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2021</w:t>
      </w:r>
      <w:r>
        <w:rPr>
          <w:rFonts w:ascii="SimSun" w:eastAsia="SimSun" w:hAnsi="SimSun" w:cs="SimSun"/>
        </w:rPr>
        <w:t>年招收的学生根据录取专业和教学安排分别在开元、西苑两个校区学习。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学校具有学士、硕士、博士三级学位授予权，按照国家规定颁发河南科技大学毕业证书；符合学位授予条件者颁发河南科技大学学位证书；证书种类为普通高等教育毕业证书。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本章程适用于河南科技大学普通本科招生工作。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成立由校党委书记、校长、主管副校长、纪委书记、有关部门负责人、师生代表、校友代表等组成的河南科技大学普通高招招生委员会，其主要职责是：认真执行教育部和有关省级招生委员会的招生政策和相关规定，研究决定招生工作中的重大事项，如招生计划编制、录取规则制订、预留计划使用原则和标准、特殊类型考生招考办法及入选资格名单、录取结果以及第二学士学位招生实施办法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河南科技大学普通高招招生委员会下设招生录取工作领导小组、监督检查工作领导小组和安全稳定工作领导小组。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按照核准的年度招生规模，结合学校的办学条件、发展定位、招生专业计划调整办法等制定本年度分省分专业计划，学校在各省（直辖市、自治区）的招生专业</w:t>
      </w:r>
      <w:r>
        <w:rPr>
          <w:rFonts w:ascii="Times New Roman" w:eastAsia="Times New Roman" w:hAnsi="Times New Roman" w:cs="Times New Roman"/>
        </w:rPr>
        <w:t>(</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、录取批次、招生人数等由各省级招生主管部门分别向社会公布。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按照教育部规定，学校预留计划数量不超过当年本科招生规模的</w:t>
      </w:r>
      <w:r>
        <w:rPr>
          <w:rFonts w:ascii="Times New Roman" w:eastAsia="Times New Roman" w:hAnsi="Times New Roman" w:cs="Times New Roman"/>
        </w:rPr>
        <w:t>1%</w:t>
      </w:r>
      <w:r>
        <w:rPr>
          <w:rFonts w:ascii="SimSun" w:eastAsia="SimSun" w:hAnsi="SimSun" w:cs="SimSun"/>
        </w:rPr>
        <w:t>。预留计划的使用经河南科技大学普通高招招生委员会集体研究决定，统一通过</w:t>
      </w:r>
      <w:r>
        <w:rPr>
          <w:rFonts w:ascii="Times New Roman" w:eastAsia="Times New Roman" w:hAnsi="Times New Roman" w:cs="Times New Roman"/>
        </w:rPr>
        <w:t>“</w:t>
      </w:r>
      <w:r>
        <w:rPr>
          <w:rFonts w:ascii="SimSun" w:eastAsia="SimSun" w:hAnsi="SimSun" w:cs="SimSun"/>
        </w:rPr>
        <w:t>全国普通高校招生来源计划网上管理系统</w:t>
      </w:r>
      <w:r>
        <w:rPr>
          <w:rFonts w:ascii="Times New Roman" w:eastAsia="Times New Roman" w:hAnsi="Times New Roman" w:cs="Times New Roman"/>
        </w:rPr>
        <w:t>”</w:t>
      </w:r>
      <w:r>
        <w:rPr>
          <w:rFonts w:ascii="SimSun" w:eastAsia="SimSun" w:hAnsi="SimSun" w:cs="SimSun"/>
        </w:rPr>
        <w:t>调整使用，主要用于生源较好的省份按照平行志愿投档时进档考生超过执行计划时的录取。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有部分本科专业按类招生。考生填报高考志愿时，将专业类视作一个专业填报即可。按同一专业类招收的新生，入学时在专业类内不分专业，在完成通识课程和学科平台课程学习后，根据学生志愿、高考成绩、在校学习成绩等，参加本专业类的分流工作，然后进入本专业类中的某个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凡符合生源所在地省级招生委员会规定的报名条件的考生，均可报考河南科技大学。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身体健康状况要求：对考生的身体健康状况要求执行教育部、原卫生部、中国残疾人联合会关于普通高等学校招生体检工作的有关规定。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高考外语语种要求：外国语言文学类（含英语、商务英语专业）只招收英语语种考生，日语专业的应试语种为英语或日语；其它专业，新生入校后以英语安排外语教学。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艺术学和体育教育专业考生高考文化成绩和专业成绩需达到所在省艺术、体育省统考专业分和高考文化分本科最低控制线。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学校遵循公平、公正、公开的原则，实施招生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学校认可生源所在地省（直辖市、自治区）的照顾加分政策，考生按加分后的总成绩排序，参加专业安排。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根据各省（直辖市、自治区）模拟情况确定调档比例，调阅考生档案的比例为：实行平行志愿的省份不超过学校招生计划数的</w:t>
      </w:r>
      <w:r>
        <w:rPr>
          <w:rFonts w:ascii="Times New Roman" w:eastAsia="Times New Roman" w:hAnsi="Times New Roman" w:cs="Times New Roman"/>
        </w:rPr>
        <w:t>105%</w:t>
      </w:r>
      <w:r>
        <w:rPr>
          <w:rFonts w:ascii="SimSun" w:eastAsia="SimSun" w:hAnsi="SimSun" w:cs="SimSun"/>
        </w:rPr>
        <w:t>；未实行平行志愿的省份不超过学校招生计划数的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进档考生专业安排原则：对进档考生的专业安排，结合各专业的录取条件，实行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的办法予以录取。即</w:t>
      </w:r>
      <w:r>
        <w:rPr>
          <w:rFonts w:ascii="Times New Roman" w:eastAsia="Times New Roman" w:hAnsi="Times New Roman" w:cs="Times New Roman"/>
        </w:rPr>
        <w:t>A</w:t>
      </w:r>
      <w:r>
        <w:rPr>
          <w:rFonts w:ascii="SimSun" w:eastAsia="SimSun" w:hAnsi="SimSun" w:cs="SimSun"/>
        </w:rPr>
        <w:t>、对于进档考生，根据考生的专业志愿，按照高考成绩从高分到低分择优录取；</w:t>
      </w:r>
      <w:r>
        <w:rPr>
          <w:rFonts w:ascii="Times New Roman" w:eastAsia="Times New Roman" w:hAnsi="Times New Roman" w:cs="Times New Roman"/>
        </w:rPr>
        <w:t>B</w:t>
      </w:r>
      <w:r>
        <w:rPr>
          <w:rFonts w:ascii="SimSun" w:eastAsia="SimSun" w:hAnsi="SimSun" w:cs="SimSun"/>
        </w:rPr>
        <w:t>、对于进档考生，第一专业志愿不能满足时，按其第二专业志愿录取，仍不能满足的按其第三专业志愿录取，以此类推。当某考生所有专业志愿均不能满足时，服从专业调剂的考生，将其调剂录取到计划未满的专业；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我校设计学类、动画和美术学专业的考生，文化分和专业分均达到生源所在省确定的艺术类本科录取控制分数线的，按照文化分和专业分之和的排序从高分到低分择优录取；实行平行志愿的省份，若省级招办（考试院）有明确的投档规则，学校按生源地投档规则执行，若无统一的投档规则，按我校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报考我校音乐学的考生，文化分和专业分均达到生源所在省确定的艺术类本科录取控制分数线的，按照文化分乘以</w:t>
      </w:r>
      <w:r>
        <w:rPr>
          <w:rFonts w:ascii="Times New Roman" w:eastAsia="Times New Roman" w:hAnsi="Times New Roman" w:cs="Times New Roman"/>
        </w:rPr>
        <w:t>40%</w:t>
      </w:r>
      <w:r>
        <w:rPr>
          <w:rFonts w:ascii="SimSun" w:eastAsia="SimSun" w:hAnsi="SimSun" w:cs="SimSun"/>
        </w:rPr>
        <w:t>加上专业分乘以</w:t>
      </w:r>
      <w:r>
        <w:rPr>
          <w:rFonts w:ascii="Times New Roman" w:eastAsia="Times New Roman" w:hAnsi="Times New Roman" w:cs="Times New Roman"/>
        </w:rPr>
        <w:t>60%</w:t>
      </w:r>
      <w:r>
        <w:rPr>
          <w:rFonts w:ascii="SimSun" w:eastAsia="SimSun" w:hAnsi="SimSun" w:cs="SimSun"/>
        </w:rPr>
        <w:t>之和的排序从高分到低分择优录取；实行平行志愿的省份，若省级招办（考试院）有明确的投档规则，学校按生源地投档规则执行，若无统一的投档规则，按我校录取规则执行。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我校体育教育专业的考生，文化分和专业分均达到生源所在省确定的本科录取控制分数线的，按照专业分的排序从高分到低分择优录取；实行平行志愿的省份，若省级招办（考试院）有明确的投档规则，学校按生源地投档规则执行，若无统一的投档规则，按我校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对于艺术学各专业和体育教育专业按比例核算后同分的考生，根据专业培养需要，结合考生文化分相关科目成绩，择优录取。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有特殊高考录取规定的省（直辖市、自治区），学校录取原则如下：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（一）高考改革省份按本省</w:t>
      </w:r>
      <w:r>
        <w:rPr>
          <w:rFonts w:ascii="Times New Roman" w:eastAsia="Times New Roman" w:hAnsi="Times New Roman" w:cs="Times New Roman"/>
        </w:rPr>
        <w:t>2021</w:t>
      </w:r>
      <w:r>
        <w:rPr>
          <w:rFonts w:ascii="SimSun" w:eastAsia="SimSun" w:hAnsi="SimSun" w:cs="SimSun"/>
        </w:rPr>
        <w:t>年普通高校招生录取工作的相关规定执行。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（二）内蒙古自治区考生在招生计划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学校录取新生除中外合作办学各专业和软件工程专业外实行学分制学费管理，学分制学费由专业注册费和学分学费两部分组成，收费标准按照《河南省发展和改革委员会</w:t>
      </w:r>
      <w:r>
        <w:rPr>
          <w:rFonts w:ascii="Times New Roman" w:eastAsia="Times New Roman" w:hAnsi="Times New Roman" w:cs="Times New Roman"/>
        </w:rPr>
        <w:t xml:space="preserve"> </w:t>
      </w:r>
      <w:r>
        <w:rPr>
          <w:rFonts w:ascii="SimSun" w:eastAsia="SimSun" w:hAnsi="SimSun" w:cs="SimSun"/>
        </w:rPr>
        <w:t>河南省财政厅</w:t>
      </w:r>
      <w:r>
        <w:rPr>
          <w:rFonts w:ascii="Times New Roman" w:eastAsia="Times New Roman" w:hAnsi="Times New Roman" w:cs="Times New Roman"/>
        </w:rPr>
        <w:t xml:space="preserve"> </w:t>
      </w:r>
      <w:r>
        <w:rPr>
          <w:rFonts w:ascii="SimSun" w:eastAsia="SimSun" w:hAnsi="SimSun" w:cs="SimSun"/>
        </w:rPr>
        <w:t>河南省教育厅关于调整公办普通高校学费标准的通知》（豫发改收费</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456</w:t>
      </w:r>
      <w:r>
        <w:rPr>
          <w:rFonts w:ascii="SimSun" w:eastAsia="SimSun" w:hAnsi="SimSun" w:cs="SimSun"/>
        </w:rPr>
        <w:t>号）文件执行。学校各本科专业学费收费标准为：文史类各专业</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年、理工类各专业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年、医学类各专业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年、艺术类各专业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年，其中部分优势学科专业学费上浮</w:t>
      </w:r>
      <w:r>
        <w:rPr>
          <w:rFonts w:ascii="Times New Roman" w:eastAsia="Times New Roman" w:hAnsi="Times New Roman" w:cs="Times New Roman"/>
        </w:rPr>
        <w:t>10%</w:t>
      </w:r>
      <w:r>
        <w:rPr>
          <w:rFonts w:ascii="SimSun" w:eastAsia="SimSun" w:hAnsi="SimSun" w:cs="SimSun"/>
        </w:rPr>
        <w:t>，具体各专业收费标准以学校公布为准（详见河南科技大学财务处官网）。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中外合作办学各专业和软件工程专业实行学年学费管理。中外合作办学各专业学费为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年，软件工程专业学费为</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按照豫价费字［</w:t>
      </w:r>
      <w:r>
        <w:rPr>
          <w:rFonts w:ascii="Times New Roman" w:eastAsia="Times New Roman" w:hAnsi="Times New Roman" w:cs="Times New Roman"/>
        </w:rPr>
        <w:t>2000</w:t>
      </w:r>
      <w:r>
        <w:rPr>
          <w:rFonts w:ascii="SimSun" w:eastAsia="SimSun" w:hAnsi="SimSun" w:cs="SimSun"/>
        </w:rPr>
        <w:t>］</w:t>
      </w:r>
      <w:r>
        <w:rPr>
          <w:rFonts w:ascii="Times New Roman" w:eastAsia="Times New Roman" w:hAnsi="Times New Roman" w:cs="Times New Roman"/>
        </w:rPr>
        <w:t>132</w:t>
      </w:r>
      <w:r>
        <w:rPr>
          <w:rFonts w:ascii="SimSun" w:eastAsia="SimSun" w:hAnsi="SimSun" w:cs="SimSun"/>
        </w:rPr>
        <w:t>号、豫计收费［</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1308</w:t>
      </w:r>
      <w:r>
        <w:rPr>
          <w:rFonts w:ascii="SimSun" w:eastAsia="SimSun" w:hAnsi="SimSun" w:cs="SimSun"/>
        </w:rPr>
        <w:t>号、豫计收费</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2225</w:t>
      </w:r>
      <w:r>
        <w:rPr>
          <w:rFonts w:ascii="SimSun" w:eastAsia="SimSun" w:hAnsi="SimSun" w:cs="SimSun"/>
        </w:rPr>
        <w:t>号、豫发改收费［</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1204</w:t>
      </w:r>
      <w:r>
        <w:rPr>
          <w:rFonts w:ascii="SimSun" w:eastAsia="SimSun" w:hAnsi="SimSun" w:cs="SimSun"/>
        </w:rPr>
        <w:t>号文件，学校住宿费收费标准分别为</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学校有完善的学生资助政策体系，形成国家奖学金、国家励志奖学金、国家助学金、国家助学贷款、勤工助学、补偿代偿等</w:t>
      </w:r>
      <w:r>
        <w:rPr>
          <w:rFonts w:ascii="Times New Roman" w:eastAsia="Times New Roman" w:hAnsi="Times New Roman" w:cs="Times New Roman"/>
        </w:rPr>
        <w:t>“</w:t>
      </w:r>
      <w:r>
        <w:rPr>
          <w:rFonts w:ascii="SimSun" w:eastAsia="SimSun" w:hAnsi="SimSun" w:cs="SimSun"/>
        </w:rPr>
        <w:t>奖、贷、助、勤、减、缓、补、保</w:t>
      </w:r>
      <w:r>
        <w:rPr>
          <w:rFonts w:ascii="Times New Roman" w:eastAsia="Times New Roman" w:hAnsi="Times New Roman" w:cs="Times New Roman"/>
        </w:rPr>
        <w:t>”</w:t>
      </w:r>
      <w:r>
        <w:rPr>
          <w:rFonts w:ascii="SimSun" w:eastAsia="SimSun" w:hAnsi="SimSun" w:cs="SimSun"/>
        </w:rPr>
        <w:t>八位一体的激励和多元化解困助学资助服务体系，确保家庭经济困难学生顺利完成学业；对于家庭经济困难暂时无力承担学费的新生，可申请绿色通道正常办理入学手续。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新生入校后，学校将在三个月内进行全面复查，复查合格者取得学籍。复查不合格者，学校将视不同情况予以处理，直至取消入学资格。凡发现弄虚作假者，一律取消入学资格。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经河南省教育厅批准，河南科技大学与三门峡市政府合作举办河南科技大学应用工程学院，合作培养应用型本科人才。河南科技大学负责学院的招生、学籍管理和毕业证书发放工作。录取的学生在三门峡职业技术学院上课（办学地点：三门峡市城乡一体化示范区（高新区）学府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河南省教育厅同意，河南科技大学与河南工业职业技术学院合作培养应用型本科人才。河南科技大学负责招生、学籍管理和毕业证书发放工作。录取的学生在河南工业职业技术学院上课（办学地点：河南省南阳市杜诗路</w:t>
      </w:r>
      <w:r>
        <w:rPr>
          <w:rFonts w:ascii="Times New Roman" w:eastAsia="Times New Roman" w:hAnsi="Times New Roman" w:cs="Times New Roman"/>
        </w:rPr>
        <w:t>1666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学校招生部门及联系方式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招生部门：河南科技大学招生就业办公室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0379-65627022</w:t>
      </w:r>
      <w:r>
        <w:rPr>
          <w:rFonts w:ascii="SimSun" w:eastAsia="SimSun" w:hAnsi="SimSun" w:cs="SimSun"/>
        </w:rPr>
        <w:t>、</w:t>
      </w:r>
      <w:r>
        <w:rPr>
          <w:rFonts w:ascii="Times New Roman" w:eastAsia="Times New Roman" w:hAnsi="Times New Roman" w:cs="Times New Roman"/>
        </w:rPr>
        <w:t xml:space="preserve">65627035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信访电话：</w:t>
      </w:r>
      <w:r>
        <w:rPr>
          <w:rFonts w:ascii="Times New Roman" w:eastAsia="Times New Roman" w:hAnsi="Times New Roman" w:cs="Times New Roman"/>
        </w:rPr>
        <w:t xml:space="preserve">0379-64231439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https://www.haust.edu.cn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zhsb@haust.edu.cn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9.html" TargetMode="External" /><Relationship Id="rId15" Type="http://schemas.openxmlformats.org/officeDocument/2006/relationships/hyperlink" Target="http://www.gk114.com/a/gxzs/zszc/henan/2022/0604/22668.html" TargetMode="External" /><Relationship Id="rId16" Type="http://schemas.openxmlformats.org/officeDocument/2006/relationships/hyperlink" Target="http://www.gk114.com/a/gxzs/zszc/henan/2022/0604/22667.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2/19683.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1/0602/19686.html" TargetMode="External" /><Relationship Id="rId5" Type="http://schemas.openxmlformats.org/officeDocument/2006/relationships/hyperlink" Target="http://www.gk114.com/a/gxzs/zszc/henan/2021/0608/19792.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