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河南科技大学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第一条</w:t>
      </w:r>
      <w:r>
        <w:rPr>
          <w:rFonts w:ascii="Microsoft YaHei" w:eastAsia="Microsoft YaHei" w:hAnsi="Microsoft YaHei" w:cs="Microsoft YaHei"/>
          <w:color w:val="515A6E"/>
          <w:sz w:val="21"/>
          <w:szCs w:val="21"/>
        </w:rPr>
        <w:t> 为了维护学校和考生的合法权益，保证我校2022年全日制普通本科招生工作顺利进行，根据《中华人民共和国教育法》、《中华人民共和国高等教育法》和教育部有关规定，结合学校实际情况，特制定本章程。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第二条</w:t>
      </w:r>
      <w:r>
        <w:rPr>
          <w:rFonts w:ascii="Microsoft YaHei" w:eastAsia="Microsoft YaHei" w:hAnsi="Microsoft YaHei" w:cs="Microsoft YaHei"/>
          <w:color w:val="515A6E"/>
          <w:sz w:val="21"/>
          <w:szCs w:val="21"/>
        </w:rPr>
        <w:t> 学校的全称为河南科技大学（国标代码10464），注册地址为河南省洛阳市洛龙区开元大道263号，邮政编码471023。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第三条 </w:t>
      </w:r>
      <w:r>
        <w:rPr>
          <w:rFonts w:ascii="Microsoft YaHei" w:eastAsia="Microsoft YaHei" w:hAnsi="Microsoft YaHei" w:cs="Microsoft YaHei"/>
          <w:color w:val="515A6E"/>
          <w:sz w:val="21"/>
          <w:szCs w:val="21"/>
        </w:rPr>
        <w:t>河南科技大学是公办、全日制普通高等学校，是国家国防科技工业局与河南省人民政府共建高校、国家中西部高校基础能力建设工程支持高校、全国深化创新创业教育改革示范高校。学校已初步发展成为一所工科优势突出、理工农医文等多学科协调发展的高水平综合性大学，涵盖理学、工学、农学、医学、经济学、管理学、文学、法学、历史学、教育学、艺术学等11大学科门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第四条 </w:t>
      </w:r>
      <w:r>
        <w:rPr>
          <w:rFonts w:ascii="Microsoft YaHei" w:eastAsia="Microsoft YaHei" w:hAnsi="Microsoft YaHei" w:cs="Microsoft YaHei"/>
          <w:color w:val="515A6E"/>
          <w:sz w:val="21"/>
          <w:szCs w:val="21"/>
        </w:rPr>
        <w:t>2022年招收的学生根据录取专业和教学安排分别在开元、西苑两个校区学习。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第五条</w:t>
      </w:r>
      <w:r>
        <w:rPr>
          <w:rFonts w:ascii="Microsoft YaHei" w:eastAsia="Microsoft YaHei" w:hAnsi="Microsoft YaHei" w:cs="Microsoft YaHei"/>
          <w:color w:val="515A6E"/>
          <w:sz w:val="21"/>
          <w:szCs w:val="21"/>
        </w:rPr>
        <w:t> 学校具有学士、硕士、博士三级学位授予权，按照国家规定颁发河南科技大学毕业证书；符合学位授予条件者颁发河南科技大学学位证书；证书种类为普通高等教育毕业证书。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第六条</w:t>
      </w:r>
      <w:r>
        <w:rPr>
          <w:rFonts w:ascii="Microsoft YaHei" w:eastAsia="Microsoft YaHei" w:hAnsi="Microsoft YaHei" w:cs="Microsoft YaHei"/>
          <w:color w:val="515A6E"/>
          <w:sz w:val="21"/>
          <w:szCs w:val="21"/>
        </w:rPr>
        <w:t> 本章程适用于河南科技大学普通本科招生工作。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第七条</w:t>
      </w:r>
      <w:r>
        <w:rPr>
          <w:rFonts w:ascii="Microsoft YaHei" w:eastAsia="Microsoft YaHei" w:hAnsi="Microsoft YaHei" w:cs="Microsoft YaHei"/>
          <w:color w:val="515A6E"/>
          <w:sz w:val="21"/>
          <w:szCs w:val="21"/>
        </w:rPr>
        <w:t> 学校成立由校党委书记、校长、主管副校长、纪委书记、有关部门负责人、师生代表、校友代表等组成的河南科技大学普通高招招生委员会，其主要职责是：认真执行教育部和有关省级招生委员会的招生政策和相关规定，研究决定招生工作中的重大事项，如招生计划编制、录取规则制订、预留计划使用原则和标准、特殊类型考生招考办法及入选资格名单、录取结果以及第二学士学位招生实施办法等</w:t>
      </w:r>
      <w:r>
        <w:rPr>
          <w:rFonts w:ascii="Microsoft YaHei" w:eastAsia="Microsoft YaHei" w:hAnsi="Microsoft YaHei" w:cs="Microsoft YaHei"/>
          <w:b/>
          <w:bCs/>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第八条</w:t>
      </w:r>
      <w:r>
        <w:rPr>
          <w:rFonts w:ascii="Microsoft YaHei" w:eastAsia="Microsoft YaHei" w:hAnsi="Microsoft YaHei" w:cs="Microsoft YaHei"/>
          <w:color w:val="515A6E"/>
          <w:sz w:val="21"/>
          <w:szCs w:val="21"/>
        </w:rPr>
        <w:t> 河南科技大学普通高招招生委员会下设招生录取工作领导小组、监督检查工作领导小组和安全稳定工作领导小组。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第九条</w:t>
      </w:r>
      <w:r>
        <w:rPr>
          <w:rFonts w:ascii="Microsoft YaHei" w:eastAsia="Microsoft YaHei" w:hAnsi="Microsoft YaHei" w:cs="Microsoft YaHei"/>
          <w:color w:val="515A6E"/>
          <w:sz w:val="21"/>
          <w:szCs w:val="21"/>
        </w:rPr>
        <w:t> 按照核准的年度招生规模，结合学校的办学条件、发展定位、招生专业计划调整办法等制定本年度分省分专业计划，学校在各省（直辖市、自治区）的招生专业(类)、录取批次、招生人数等由各省级招生主管部门分别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第十条</w:t>
      </w:r>
      <w:r>
        <w:rPr>
          <w:rFonts w:ascii="Microsoft YaHei" w:eastAsia="Microsoft YaHei" w:hAnsi="Microsoft YaHei" w:cs="Microsoft YaHei"/>
          <w:color w:val="515A6E"/>
          <w:sz w:val="21"/>
          <w:szCs w:val="21"/>
        </w:rPr>
        <w:t> 按照教育部规定，学校预留计划数量不超过当年本科招生规模的1%。预留计划的使用经河南科技大学普通高招招生委员会集体研究决定，统一通过“全国普通高校招生来源计划网上管理系统”调整使用，主要用于生源较好的省份按照平行志愿投档时进档考生超过执行计划时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第十一条</w:t>
      </w:r>
      <w:r>
        <w:rPr>
          <w:rFonts w:ascii="Microsoft YaHei" w:eastAsia="Microsoft YaHei" w:hAnsi="Microsoft YaHei" w:cs="Microsoft YaHei"/>
          <w:color w:val="515A6E"/>
          <w:sz w:val="21"/>
          <w:szCs w:val="21"/>
        </w:rPr>
        <w:t> 学校有部分本科专业按类招生。考生填报高考志愿时，将专业类视作一个专业填报即可。按同一专业类招收的新生，入学时在专业类内不分专业，在完成通识课程和学科平台课程学习后，根据学生志愿、高考成绩、在校学习成绩等，参加本专业类的分流工作，然后进入本专业类中的某个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  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第十二条</w:t>
      </w:r>
      <w:r>
        <w:rPr>
          <w:rFonts w:ascii="Microsoft YaHei" w:eastAsia="Microsoft YaHei" w:hAnsi="Microsoft YaHei" w:cs="Microsoft YaHei"/>
          <w:color w:val="515A6E"/>
          <w:sz w:val="21"/>
          <w:szCs w:val="21"/>
        </w:rPr>
        <w:t> 凡符合生源所在地省级招生委员会规定的报名条件的考生，均可报考河南科技大学。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第十三条</w:t>
      </w:r>
      <w:r>
        <w:rPr>
          <w:rFonts w:ascii="Microsoft YaHei" w:eastAsia="Microsoft YaHei" w:hAnsi="Microsoft YaHei" w:cs="Microsoft YaHei"/>
          <w:color w:val="515A6E"/>
          <w:sz w:val="21"/>
          <w:szCs w:val="21"/>
        </w:rPr>
        <w:t> 身体健康状况要求：对考生的身体健康状况要求执行教育部、原卫生部、中国残疾人联合会关于普通高等学校招生体检工作的有关规定。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第十四条</w:t>
      </w:r>
      <w:r>
        <w:rPr>
          <w:rFonts w:ascii="Microsoft YaHei" w:eastAsia="Microsoft YaHei" w:hAnsi="Microsoft YaHei" w:cs="Microsoft YaHei"/>
          <w:color w:val="515A6E"/>
          <w:sz w:val="21"/>
          <w:szCs w:val="21"/>
        </w:rPr>
        <w:t> 高考外语语种要求：英语专业只招收英语语种考生，日语专业的应试语种为英语或日语；其它专业，新生入校后以英语安排外语教学。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第十五条</w:t>
      </w:r>
      <w:r>
        <w:rPr>
          <w:rFonts w:ascii="Microsoft YaHei" w:eastAsia="Microsoft YaHei" w:hAnsi="Microsoft YaHei" w:cs="Microsoft YaHei"/>
          <w:color w:val="515A6E"/>
          <w:sz w:val="21"/>
          <w:szCs w:val="21"/>
        </w:rPr>
        <w:t> 艺术学和体育教育专业考生高考文化成绩和专业成绩需达到所在省艺术、体育省统考专业分和高考文化分本科最低控制线。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第十六条</w:t>
      </w:r>
      <w:r>
        <w:rPr>
          <w:rFonts w:ascii="Microsoft YaHei" w:eastAsia="Microsoft YaHei" w:hAnsi="Microsoft YaHei" w:cs="Microsoft YaHei"/>
          <w:color w:val="515A6E"/>
          <w:sz w:val="21"/>
          <w:szCs w:val="21"/>
        </w:rPr>
        <w:t> 学校遵循公平、公正、公开的原则，实施招生“阳光工程”。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第十七条</w:t>
      </w:r>
      <w:r>
        <w:rPr>
          <w:rFonts w:ascii="Microsoft YaHei" w:eastAsia="Microsoft YaHei" w:hAnsi="Microsoft YaHei" w:cs="Microsoft YaHei"/>
          <w:color w:val="515A6E"/>
          <w:sz w:val="21"/>
          <w:szCs w:val="21"/>
        </w:rPr>
        <w:t> 学校认可生源所在地省（直辖市、自治区）的照顾加分政策，考生按加分后的总成绩排序，参加专业安排。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第十八条</w:t>
      </w:r>
      <w:r>
        <w:rPr>
          <w:rFonts w:ascii="Microsoft YaHei" w:eastAsia="Microsoft YaHei" w:hAnsi="Microsoft YaHei" w:cs="Microsoft YaHei"/>
          <w:color w:val="515A6E"/>
          <w:sz w:val="21"/>
          <w:szCs w:val="21"/>
        </w:rPr>
        <w:t> 根据各省（直辖市、自治区）模拟情况确定调档比例，调阅考生档案的比例为：实行平行志愿的省份不超过学校招生计划数的105%；未实行平行志愿的省份不超过学校招生计划数的120％。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第十九条</w:t>
      </w:r>
      <w:r>
        <w:rPr>
          <w:rFonts w:ascii="Microsoft YaHei" w:eastAsia="Microsoft YaHei" w:hAnsi="Microsoft YaHei" w:cs="Microsoft YaHei"/>
          <w:color w:val="515A6E"/>
          <w:sz w:val="21"/>
          <w:szCs w:val="21"/>
        </w:rPr>
        <w:t> 进档考生专业安排原则：对进档考生的专业安排，结合各专业的录取条件，实行“专业清”的办法予以录取。即A、对于进档考生，根据考生的专业志愿，按照高考成绩从高分到低分择优录取；B、对于进档考生，第一专业志愿不能满足时，按其第二专业志愿录取，仍不能满足的按其第三专业志愿录取，以此类推。当某考生所有专业志愿均不能满足时，服从专业调剂的考生，将其调剂录取到计划未满的专业；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333333"/>
          <w:sz w:val="21"/>
          <w:szCs w:val="21"/>
        </w:rPr>
        <w:t>第二十条  </w:t>
      </w:r>
      <w:r>
        <w:rPr>
          <w:rFonts w:ascii="Microsoft YaHei" w:eastAsia="Microsoft YaHei" w:hAnsi="Microsoft YaHei" w:cs="Microsoft YaHei"/>
          <w:color w:val="515A6E"/>
          <w:sz w:val="21"/>
          <w:szCs w:val="21"/>
        </w:rPr>
        <w:t>报考我校设计学类和美术学专业的考生，文化分和专业分均达到生源所在省确定的艺术类本科录取控制分数线的，按照文化分和专业分之和的排序从高分到低分择优录取；实行平行志愿的省份，若省级招办（考试院）有明确的投档规则，学校按生源地投档规则执行，若无统一的投档规则，按我校录取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第二十一条  </w:t>
      </w:r>
      <w:r>
        <w:rPr>
          <w:rFonts w:ascii="Microsoft YaHei" w:eastAsia="Microsoft YaHei" w:hAnsi="Microsoft YaHei" w:cs="Microsoft YaHei"/>
          <w:color w:val="515A6E"/>
          <w:sz w:val="21"/>
          <w:szCs w:val="21"/>
        </w:rPr>
        <w:t> 报考我校音乐学的考生，文化分和专业分均达到生源所在省确定的艺术类本科录取控制分数线的，</w:t>
      </w:r>
      <w:r>
        <w:rPr>
          <w:rFonts w:ascii="Microsoft YaHei" w:eastAsia="Microsoft YaHei" w:hAnsi="Microsoft YaHei" w:cs="Microsoft YaHei"/>
          <w:color w:val="333333"/>
          <w:sz w:val="21"/>
          <w:szCs w:val="21"/>
        </w:rPr>
        <w:t>按照文化分乘以40%加上专业分乘以60%之和的排序从高分到低分择优录取；实行平行志愿的省份，若省级招办（考试院）有明确的投档规则，学校按生源地投档规则执行，若无统一的投档规则，按我校录取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第二十二条 </w:t>
      </w:r>
      <w:r>
        <w:rPr>
          <w:rFonts w:ascii="Microsoft YaHei" w:eastAsia="Microsoft YaHei" w:hAnsi="Microsoft YaHei" w:cs="Microsoft YaHei"/>
          <w:b/>
          <w:bCs/>
          <w:color w:val="333333"/>
          <w:sz w:val="21"/>
          <w:szCs w:val="21"/>
        </w:rPr>
        <w:t> </w:t>
      </w:r>
      <w:r>
        <w:rPr>
          <w:rFonts w:ascii="Microsoft YaHei" w:eastAsia="Microsoft YaHei" w:hAnsi="Microsoft YaHei" w:cs="Microsoft YaHei"/>
          <w:color w:val="515A6E"/>
          <w:sz w:val="21"/>
          <w:szCs w:val="21"/>
        </w:rPr>
        <w:t>报考我校体育教育专业的考生，文化分和专业分均达到生源所在省确定的本科录取控制分数线的，按照专业分的排序从高分到低分择优录取；实行平行志愿的省份，若省级招办（考试院）有明确的投档规则，学校按生源地投档规则执行，若无统一的投档规则，按我校录取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第二十三条</w:t>
      </w:r>
      <w:r>
        <w:rPr>
          <w:rFonts w:ascii="Microsoft YaHei" w:eastAsia="Microsoft YaHei" w:hAnsi="Microsoft YaHei" w:cs="Microsoft YaHei"/>
          <w:color w:val="515A6E"/>
          <w:sz w:val="21"/>
          <w:szCs w:val="21"/>
        </w:rPr>
        <w:t>　有特殊高考录取规定的省（直辖市、自治区），学校录取原则如下：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（一）高考改革省份按本省2022年普通高校招生录取工作的相关规定执行。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（二）内蒙古自治区考生在招生计划1:1范围内按专业志愿排队录取。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第二十四条</w:t>
      </w:r>
      <w:r>
        <w:rPr>
          <w:rFonts w:ascii="Microsoft YaHei" w:eastAsia="Microsoft YaHei" w:hAnsi="Microsoft YaHei" w:cs="Microsoft YaHei"/>
          <w:color w:val="515A6E"/>
          <w:sz w:val="21"/>
          <w:szCs w:val="21"/>
        </w:rPr>
        <w:t>　考生分数相同时，优先按各省（自治区、直辖市）确定的同分排序细则进行排序，若相关批次无同分排序细则或相关省（自治区、直辖市）有特殊要求的，则依次比较语文、数学、外语、综合（高考综合改革省份为三门选考科目总分）科目分数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按照平行志愿投档的普通批次，对于思想政治品德、体检合格且专业服从调剂的考生，进档后原则上不退档。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 收费标准及奖助学措施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第二十五条</w:t>
      </w:r>
      <w:r>
        <w:rPr>
          <w:rFonts w:ascii="Microsoft YaHei" w:eastAsia="Microsoft YaHei" w:hAnsi="Microsoft YaHei" w:cs="Microsoft YaHei"/>
          <w:color w:val="515A6E"/>
          <w:sz w:val="21"/>
          <w:szCs w:val="21"/>
        </w:rPr>
        <w:t>  学校录取新生除中外合作办学各专业、软件工程专业、与三门峡市政府合作举办河南科技大学应用工程学院各专业、与河南工业职业技术学院合作培养各专业实行学年制学费管理，其余各专业均实行学分制学费管理。学分制学费由专业注册费和学分学费两部分组成，收费标准按照《河南省发展和改革委员会 河南省财政厅 河南省教育厅关于调整公办普通高校学费标准的通知》（豫发改收费〔2020〕456号）文件执行。学校各本科专业学费收费标准为：文史类各专业4400元/生·年、理工类各专业5000元/生·年、医学类各专业5500元/生·年、艺术类各专业8000元/生·年，其中部分优势学科专业学费上浮10%，具体各专业收费标准以学校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中外合作办学各专业学费为18000元/生·年，软件工程专业学费为12000元/生·年。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按照豫价费字［2000］132号、豫发改收费［2005］1204号文件，学校住宿费收费标准分别为400元/生·年、600元/生·年、800元/生·年、1000元/生·年、1200元/生·年。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第二十六条 </w:t>
      </w:r>
      <w:r>
        <w:rPr>
          <w:rFonts w:ascii="Microsoft YaHei" w:eastAsia="Microsoft YaHei" w:hAnsi="Microsoft YaHei" w:cs="Microsoft YaHei"/>
          <w:color w:val="515A6E"/>
          <w:sz w:val="21"/>
          <w:szCs w:val="21"/>
        </w:rPr>
        <w:t>学校建立了完善的学生资助政策体系，确保不让一名学生因家庭经济困难而失学。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1.国家奖学金。奖励特别优秀的全日制本科生，每生每年8000元。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2.国家励志奖学金。奖励资助品学兼优的家庭经济困难的全日制本科生，资助范围约为全校全日制本科在校生总数的3%，每生每年5000元。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学校奖学金。学校设立的校级奖学金主要激励学生刻苦学习、奋发进取，促进学生德、智、体、美、劳全面发展，共设三个等级：一等奖每人奖励1200元；二等奖每人800元；三等奖每人500元。另设“学科竞赛奖”、“创新创业奖”以及企事业单位、社会团体和个人设立的专项奖学金，奖励办法按相关协议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资助家庭经济困难的全日制本科生（含预科生，不含退役士兵学生），本科生资助范围约为全校全日制本科在校生总数的20%，平均资助标准为每生每年3300元。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全日制在校退役士兵学生全部享受本科生国家助学金，资助标准为每生每年3300元。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家庭经济困难的学生入学后可向高校申请高校国家助学贷款，也可在入学前到生源所在地县（区）学生资助管理中心申请生源地信用助学贷款。每生每年最高可申请助学贷款12000元。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（四）服兵役高等学校学生国家教育资助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对应征入伍服义务兵役、招收为士官、退役后复学或入学的高等学校学生实行学费补偿、国家助学贷款代偿、学费减免。学费补偿或国家助学贷款代偿金额，按学生实际缴纳的学费或用于学费的国家助学贷款两者金额较高者执行；复学或新生入学后学费减免金额，按学校实际收取学费金额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学费补偿、国家助学贷款代偿以及学费减免的标准，本科生每生每年最高不超过12000元。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学校设有勤工助学岗位，优先安排家庭困难的学生上岗，学生通过劳动改善学习和生活条件。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（六）绿色通道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家庭经济特别困难的学生如暂时筹集不齐学费和住宿费，可在开学报到时，通过绿色通道先办理入学手续。入学后，根据学生实际情况开展困难认定，采取不同措施给予资助。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（七）专项临时困难救助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主要用于帮助学生解决学习、生活中遇到的临时性、突发性、特殊性的经济困难。资助标准根据学生家庭经济状况和困难程度，每次资助500至5000元，每生每学年累计可申请获得3次救助。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   其  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第二十七条 </w:t>
      </w:r>
      <w:r>
        <w:rPr>
          <w:rFonts w:ascii="Microsoft YaHei" w:eastAsia="Microsoft YaHei" w:hAnsi="Microsoft YaHei" w:cs="Microsoft YaHei"/>
          <w:color w:val="515A6E"/>
          <w:sz w:val="21"/>
          <w:szCs w:val="21"/>
        </w:rPr>
        <w:t>新生入校后，学校将在三个月内进行全面复查，复查合格者取得学籍。复查不合格者，学校将视不同情况予以处理，直至取消入学资格。凡发现弄虚作假者，一律取消入学资格。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第二十八条 </w:t>
      </w:r>
      <w:r>
        <w:rPr>
          <w:rFonts w:ascii="Microsoft YaHei" w:eastAsia="Microsoft YaHei" w:hAnsi="Microsoft YaHei" w:cs="Microsoft YaHei"/>
          <w:color w:val="515A6E"/>
          <w:sz w:val="21"/>
          <w:szCs w:val="21"/>
        </w:rPr>
        <w:t>经河南省教育厅批准，河南科技大学与三门峡市政府合作举办河南科技大学应用工程学院，合作培养应用型本科人才。河南科技大学负责学院的招生、学籍管理和毕业证书发放工作。录取的学生在三门峡职业技术学院上课（办学地点：三门峡市城乡一体化示范区（高新区）学府路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第二十九条 </w:t>
      </w:r>
      <w:r>
        <w:rPr>
          <w:rFonts w:ascii="Microsoft YaHei" w:eastAsia="Microsoft YaHei" w:hAnsi="Microsoft YaHei" w:cs="Microsoft YaHei"/>
          <w:color w:val="515A6E"/>
          <w:sz w:val="21"/>
          <w:szCs w:val="21"/>
        </w:rPr>
        <w:t>经河南省教育厅同意，河南科技大学与河南工业职业技术学院合作培养应用型本科人才。河南科技大学负责招生、学籍管理和毕业证书发放工作。录取的学生在河南工业职业技术学院上课（办学地点：河南省南阳市杜诗路1666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第三十条 学校招生部门及联系方式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招生部门：河南科技大学招生就业办公室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咨询电话：0379-65627125、65627168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信访电话：0379-64231439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学校网址：https://www.haust.edu.cn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电子邮箱：zhsb@haust.edu.cn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565"/>
        <w:gridCol w:w="1127"/>
        <w:gridCol w:w="675"/>
        <w:gridCol w:w="1095"/>
        <w:gridCol w:w="1095"/>
        <w:gridCol w:w="675"/>
        <w:gridCol w:w="675"/>
        <w:gridCol w:w="675"/>
        <w:gridCol w:w="1515"/>
        <w:gridCol w:w="1095"/>
        <w:gridCol w:w="1515"/>
        <w:gridCol w:w="1358"/>
        <w:gridCol w:w="1725"/>
        <w:gridCol w:w="8568"/>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0828</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含建筑学、城乡规划专业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体育教育</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体育教育</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植物生产类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含农学、种子科学与工程专业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含电子信息工程、通信工程专业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含机械设计制造及其自动化、机械电子工程专业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生物科学类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含生物科学、生物技术专业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中国语言文学类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含汉语言文学、汉语国际教育专业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含法学、知识产权专业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含法学、知识产权专业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动物医学类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含动物医学、动物药学、动植物检疫专业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设计学类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含视觉传达设计、环境设计、产品设计专业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120701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4840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注册会计师方向</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信息管理与信息系统</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6050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医学影像技术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医学检验技术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法医学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100901K</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100701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临床医学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100201K</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6050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水族科学与技术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090603T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林学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090501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动物科学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植物保护</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090103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园艺</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090102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乳品工程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食品质量与安全</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生物医学工程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082601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资源环境科学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082506T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交通运输</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081801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包装工程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081702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制药工程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化学工程与工艺</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光电信息科学与工程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电子科学与技术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能源与动力工程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080501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材料化学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车辆工程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080207</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测控技术与仪器</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080301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工业设计</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材料成型及控制工程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工程力学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080102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统计学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071201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应用物理学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050207</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思想政治教育</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030503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020301K</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020301K</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新能源材料与器件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080414T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4840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国家专项计划专业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含历史学、考古学专业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与俄罗斯托木斯克理工大学合作项目</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机器人工程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080803T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机械电子工程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与美国爱达荷州立大学合作举办本科教育项目</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农业工程类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含农业机械化及其自动化、农业电气化、农业水利工程专业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土木工程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建筑环境与能源应用工程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080910T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密码学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风景园林</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082803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120701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与荷兰泽兰德大学合作举办本科教育项目</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土木工程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与立陶宛维尔纽斯格迪米纳斯技术大学合作举办本科教育项目</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含数学与应用数学、信息与计算科学专业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含工商管理、市场营销、电子商务、旅游管理专业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含工商管理、市场营销、电子商务、旅游管理专业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就读地点：南阳市杜诗路1666号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4840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就读地点：南阳市杜诗路1666号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就读地点：南阳市杜诗路1666号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临床医学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100201K</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6050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4840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食品质量与安全</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6050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土木工程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车辆工程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080207</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含金属材料工程、无机非金属材料工程、冶金工程、功能材料专业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美术学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130401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8800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省级特色化示范性软件学院</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金属材料工程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080405</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机器人工程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080803T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文科类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园艺</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090102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材料成型及控制工程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080203</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河南科技大学莫动理工学院，学校与俄罗斯联邦国立研究大学莫斯科动力学院合作办学</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河南科技大学莫动理工学院，学校与俄罗斯联邦国立研究大学莫斯科动力学院合作办学</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生物医学工程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082601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河南科技大学莫动理工学院，学校与俄罗斯联邦国立研究大学莫斯科动力学院合作办学</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信息与计算科学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河南科技大学莫动理工学院，学校与俄罗斯联邦国立研究大学莫斯科动力学院合作办学</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省级特色化示范性软件学院。就读地点：三门峡市城乡一体化示范区（高新区）学府路3号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就读地点：南阳市杜诗路1666号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080202</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就读地点：三门峡市城乡一体化示范区（高新区）学府路3号</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生物工程类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0830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普通</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全日制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jc w:val="lef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含生物工程、生物制药专业</w:t>
            </w:r>
          </w:p>
        </w:tc>
      </w:tr>
      <w:tr>
        <w:tblPrEx>
          <w:tblW w:w="14306"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专业代码</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类型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培养类型</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面向群体</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师范</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艺术</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中外合作办学</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招生人数</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所属学科门类</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学费(元/年)</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方向</w:t>
            </w:r>
          </w:p>
        </w:tc>
        <w:tc>
          <w:tcPr>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备注</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中原工学院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0.html" TargetMode="External" /><Relationship Id="rId11" Type="http://schemas.openxmlformats.org/officeDocument/2006/relationships/hyperlink" Target="http://www.gk114.com/a/gxzs/zszc/henan/2022/0604/22669.html" TargetMode="External" /><Relationship Id="rId12" Type="http://schemas.openxmlformats.org/officeDocument/2006/relationships/hyperlink" Target="http://www.gk114.com/a/gxzs/zszc/henan/2022/0604/22665.html" TargetMode="External" /><Relationship Id="rId13" Type="http://schemas.openxmlformats.org/officeDocument/2006/relationships/hyperlink" Target="http://www.gk114.com/a/gxzs/zszc/henan/2022/0604/22664.html" TargetMode="External" /><Relationship Id="rId14" Type="http://schemas.openxmlformats.org/officeDocument/2006/relationships/hyperlink" Target="http://www.gk114.com/a/gxzs/zszc/henan/2022/0604/22663.html" TargetMode="External" /><Relationship Id="rId15" Type="http://schemas.openxmlformats.org/officeDocument/2006/relationships/hyperlink" Target="http://www.gk114.com/a/gxzs/zszc/henan/2022/0604/22662.html" TargetMode="External" /><Relationship Id="rId16" Type="http://schemas.openxmlformats.org/officeDocument/2006/relationships/hyperlink" Target="http://www.gk114.com/a/gxzs/zszc/henan/2021/0616/19944.html" TargetMode="External" /><Relationship Id="rId17" Type="http://schemas.openxmlformats.org/officeDocument/2006/relationships/hyperlink" Target="http://www.gk114.com/a/gxzs/zszc/henan/2021/0609/19801.html" TargetMode="External" /><Relationship Id="rId18" Type="http://schemas.openxmlformats.org/officeDocument/2006/relationships/hyperlink" Target="http://www.gk114.com/a/gxzs/zszc/henan/2021/0608/19792.html" TargetMode="External" /><Relationship Id="rId19" Type="http://schemas.openxmlformats.org/officeDocument/2006/relationships/hyperlink" Target="http://www.gk114.com/a/gxzs/zszc/henan/2021/0602/19686.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66.html" TargetMode="External" /><Relationship Id="rId5" Type="http://schemas.openxmlformats.org/officeDocument/2006/relationships/hyperlink" Target="http://www.gk114.com/a/gxzs/zszc/henan/2022/0604/22668.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