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浙江中医药大学滨江学院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根据《中华人民共和国教育法》、《中华人民共和国高等教育法》和教育主管部门等有关规定，结合浙江中医药大学滨江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本章程适用于浙江中医药大学滨江学院</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，贯彻公平竞争、公正选拔、公开透明的原则，德智体美劳全面考核、综合评价、择优录取新生，接受纪检监察部门、考生、家长、媒体以及社会各界的监督。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学校全称：浙江中医药大学滨江学院。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13285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办学层次和类型：独立学院，全日制普通高等学校，具有学士学位授予权。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颁发毕业证书、学位证书的学校名称：浙江中医药大学滨江学院。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学校地址：富春校区（浙江省杭州市富阳区百川街</w:t>
      </w:r>
      <w:r>
        <w:rPr>
          <w:rFonts w:ascii="Times New Roman" w:eastAsia="Times New Roman" w:hAnsi="Times New Roman" w:cs="Times New Roman"/>
        </w:rPr>
        <w:t>260</w:t>
      </w:r>
      <w:r>
        <w:rPr>
          <w:rFonts w:ascii="SimSun" w:eastAsia="SimSun" w:hAnsi="SimSun" w:cs="SimSun"/>
        </w:rPr>
        <w:t>号，邮编</w:t>
      </w:r>
      <w:r>
        <w:rPr>
          <w:rFonts w:ascii="Times New Roman" w:eastAsia="Times New Roman" w:hAnsi="Times New Roman" w:cs="Times New Roman"/>
        </w:rPr>
        <w:t>311402</w:t>
      </w:r>
      <w:r>
        <w:rPr>
          <w:rFonts w:ascii="SimSun" w:eastAsia="SimSun" w:hAnsi="SimSun" w:cs="SimSun"/>
        </w:rPr>
        <w:t>）、滨文校区（浙江省杭州市滨江区滨文路</w:t>
      </w:r>
      <w:r>
        <w:rPr>
          <w:rFonts w:ascii="Times New Roman" w:eastAsia="Times New Roman" w:hAnsi="Times New Roman" w:cs="Times New Roman"/>
        </w:rPr>
        <w:t>548</w:t>
      </w:r>
      <w:r>
        <w:rPr>
          <w:rFonts w:ascii="SimSun" w:eastAsia="SimSun" w:hAnsi="SimSun" w:cs="SimSun"/>
        </w:rPr>
        <w:t>号，邮编</w:t>
      </w:r>
      <w:r>
        <w:rPr>
          <w:rFonts w:ascii="Times New Roman" w:eastAsia="Times New Roman" w:hAnsi="Times New Roman" w:cs="Times New Roman"/>
        </w:rPr>
        <w:t>310053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学校委托浙江中医药大学招生工作委员会，负责全日制普通本科招生工作，研究、制订学校招生政策，并对重大事宜做出决策。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学校普通本科招生工作由浙江中医药大学招生办公室组织和实施。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学校纪检监察部门对学校招生工作实施全程监督，确保公平、公正、公开。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按照国家教育部和各省（自治区）招生委员会最新颁布的有关文件精神执行，具体招生计划以各省（自治区）招生主管部门公布计划为准。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按教育部要求，学校招生工作实行</w:t>
      </w:r>
      <w:r>
        <w:rPr>
          <w:rFonts w:ascii="Times New Roman" w:eastAsia="Times New Roman" w:hAnsi="Times New Roman" w:cs="Times New Roman"/>
        </w:rPr>
        <w:t>“</w:t>
      </w:r>
      <w:r>
        <w:rPr>
          <w:rFonts w:ascii="SimSun" w:eastAsia="SimSun" w:hAnsi="SimSun" w:cs="SimSun"/>
        </w:rPr>
        <w:t>学校负责，省（自治区）招办监督</w:t>
      </w:r>
      <w:r>
        <w:rPr>
          <w:rFonts w:ascii="Times New Roman" w:eastAsia="Times New Roman" w:hAnsi="Times New Roman" w:cs="Times New Roman"/>
        </w:rPr>
        <w:t>”</w:t>
      </w:r>
      <w:r>
        <w:rPr>
          <w:rFonts w:ascii="SimSun" w:eastAsia="SimSun" w:hAnsi="SimSun" w:cs="SimSun"/>
        </w:rPr>
        <w:t>的原则，结合本章程进行录取。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对考生身体健康要求，学校根据教育部等部门联合制定的《普通高等学校招生体检工作指导意见》及有关补充规定执行，其中《普通高等学校招生体检工作指导意见》中明确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考生报考我校各专业前应仔细阅读《普通高等学校招生体检工作指导意见》，结合个人高考体检结果合理填报志愿，录取中因考生体检原因造成的退档由考生本人负责。新生入学后须进行体检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学校认同并执行各省（自治区）招生主管部门制定的有关加分或降分投档的政策规定。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学校根据各省（自治区）招生主管部门提供的生源情况确定调档比例。实行专业平行志愿和院校平行志愿投档的批次调档比例按当批（段）次招生计划数的</w:t>
      </w:r>
      <w:r>
        <w:rPr>
          <w:rFonts w:ascii="Times New Roman" w:eastAsia="Times New Roman" w:hAnsi="Times New Roman" w:cs="Times New Roman"/>
        </w:rPr>
        <w:t>1:1</w:t>
      </w:r>
      <w:r>
        <w:rPr>
          <w:rFonts w:ascii="SimSun" w:eastAsia="SimSun" w:hAnsi="SimSun" w:cs="SimSun"/>
        </w:rPr>
        <w:t>执行。实行顺序志愿投档的批次调档比例控制在当批次招生计划数的</w:t>
      </w:r>
      <w:r>
        <w:rPr>
          <w:rFonts w:ascii="Times New Roman" w:eastAsia="Times New Roman" w:hAnsi="Times New Roman" w:cs="Times New Roman"/>
        </w:rPr>
        <w:t>1.1</w:t>
      </w:r>
      <w:r>
        <w:rPr>
          <w:rFonts w:ascii="SimSun" w:eastAsia="SimSun" w:hAnsi="SimSun" w:cs="SimSun"/>
        </w:rPr>
        <w:t>倍以内。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学校执行考生所在省（自治区）招生主管部门关于投档的有关规定。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按院校平行志愿投档方案进档的考生，按照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结合考生高考体检结果，依次择优录取，专业志愿间无级差分。同分考生排序按照各省（自治区）的规定执行（未对同分考生做统一规定的，总分相同时，则按文化总分高低排序，文化总分仍相同再按单科分数高低。单科排列顺序：理科为数学、理科综合、语文、外语；文科为语文、文科综合、数学、外语）。未被填报志愿专业录取且服从调剂的考生调剂至计划未满额专业录取，未被填报志愿专业录取且不服从调剂的考生原则上予以退档。</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录取结束后，若仍有部分专业未满额，在征得省（自治区）招生主管部门同意后，向社会公布未完成计划的招生专业和招生人数，进行</w:t>
      </w:r>
      <w:r>
        <w:rPr>
          <w:rFonts w:ascii="Times New Roman" w:eastAsia="Times New Roman" w:hAnsi="Times New Roman" w:cs="Times New Roman"/>
        </w:rPr>
        <w:t>“</w:t>
      </w:r>
      <w:r>
        <w:rPr>
          <w:rFonts w:ascii="SimSun" w:eastAsia="SimSun" w:hAnsi="SimSun" w:cs="SimSun"/>
        </w:rPr>
        <w:t>征求志愿</w:t>
      </w:r>
      <w:r>
        <w:rPr>
          <w:rFonts w:ascii="Times New Roman" w:eastAsia="Times New Roman" w:hAnsi="Times New Roman" w:cs="Times New Roman"/>
        </w:rPr>
        <w:t>”</w:t>
      </w:r>
      <w:r>
        <w:rPr>
          <w:rFonts w:ascii="SimSun" w:eastAsia="SimSun" w:hAnsi="SimSun" w:cs="SimSun"/>
        </w:rPr>
        <w:t>录取。若征求志愿后部分专业仍未满额，则按照所在省（自治区）招生主管部门有关规定进行降分录取或调整招生计划。征求志愿仍不足则将剩余计划调剂到其他生源质量好的省份完成招生计划。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平行志愿投档方案进档考生，结合考生高考体检结果，按照所投档专业进行录取，同分考生按照考生位次先后进行录取，考生位次根据考生所在省份排序规定执行。未满额计划由招生主管部门公布，进行再次填报。如在各阶段完成后仍有未完成计划的专业，在征得省招生主管部门同意后，适当扩大比例征求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按顺序志愿投挡方案进档考生，学校录取工作执行考生所在省（自治区）招生主管部门关于志愿投档顺序的有关规定。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浙江省考生须符合所报专业选考科目要求（设有选考科目专业，考生选考科目有一科符合即可报考）。其余省份考生应按照所属科类填报志愿。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学校公共外语为英语，非英语语种的考生填报志愿时应慎重。报考英语专业的考生外语单科成绩要求不低于</w:t>
      </w:r>
      <w:r>
        <w:rPr>
          <w:rFonts w:ascii="Times New Roman" w:eastAsia="Times New Roman" w:hAnsi="Times New Roman" w:cs="Times New Roman"/>
        </w:rPr>
        <w:t>90</w:t>
      </w:r>
      <w:r>
        <w:rPr>
          <w:rFonts w:ascii="SimSun" w:eastAsia="SimSun" w:hAnsi="SimSun" w:cs="SimSun"/>
        </w:rPr>
        <w:t>分（外语成绩按单科总分</w:t>
      </w:r>
      <w:r>
        <w:rPr>
          <w:rFonts w:ascii="Times New Roman" w:eastAsia="Times New Roman" w:hAnsi="Times New Roman" w:cs="Times New Roman"/>
        </w:rPr>
        <w:t>150</w:t>
      </w:r>
      <w:r>
        <w:rPr>
          <w:rFonts w:ascii="SimSun" w:eastAsia="SimSun" w:hAnsi="SimSun" w:cs="SimSun"/>
        </w:rPr>
        <w:t>分计，具体按各省普通高考实际外语单科总分等比例换算）。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专业报考建议。鉴于专业工作的特殊性，建议报考口腔医学专业的考生为惯用右手考生，建议报考护理学专业的考生身高在</w:t>
      </w:r>
      <w:r>
        <w:rPr>
          <w:rFonts w:ascii="Times New Roman" w:eastAsia="Times New Roman" w:hAnsi="Times New Roman" w:cs="Times New Roman"/>
        </w:rPr>
        <w:t>158CM</w:t>
      </w:r>
      <w:r>
        <w:rPr>
          <w:rFonts w:ascii="SimSun" w:eastAsia="SimSun" w:hAnsi="SimSun" w:cs="SimSun"/>
        </w:rPr>
        <w:t>（含）以上。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单考单招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基层卫生人才定向培养</w:t>
      </w:r>
      <w:r>
        <w:rPr>
          <w:rFonts w:ascii="Times New Roman" w:eastAsia="Times New Roman" w:hAnsi="Times New Roman" w:cs="Times New Roman"/>
        </w:rPr>
        <w:t>”</w:t>
      </w:r>
      <w:r>
        <w:rPr>
          <w:rFonts w:ascii="SimSun" w:eastAsia="SimSun" w:hAnsi="SimSun" w:cs="SimSun"/>
        </w:rPr>
        <w:t>等类型招生录取工作按照教育部、各相关省（自治区）招生主管部门及学校相关规定执行。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学校录取结果按照教育部和各省（自治区）的有关要求及规定的形式进行公布。考生可登录学校本科招生网查询。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各专业所属校区安排详见我校本科招生网招生计划表备注栏。因故不能按期入学者，应事先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收费严格按照浙江省发展和改革委员会批文和有关规定执行。学校实行学分制收费，学费按专业学费和学分学费两部分计收。新生入学时按学年制学费标准预交学费，按年度结算。各专业预交学费与年度招生专业计划一并公布，考生可在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学校设有优秀学生奖学金、单项奖学金和社会团体设立的奖学金，实行国家助学贷款、勤工助学、困难补助等多元资助政策，开通经济困难新生入学报到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为鼓励学生努力学习、奋发进取，对优秀的学生（选拔比例不超过所在专业年级学生总数的</w:t>
      </w:r>
      <w:r>
        <w:rPr>
          <w:rFonts w:ascii="Times New Roman" w:eastAsia="Times New Roman" w:hAnsi="Times New Roman" w:cs="Times New Roman"/>
        </w:rPr>
        <w:t>2%</w:t>
      </w:r>
      <w:r>
        <w:rPr>
          <w:rFonts w:ascii="SimSun" w:eastAsia="SimSun" w:hAnsi="SimSun" w:cs="SimSun"/>
        </w:rPr>
        <w:t>），经由学校审核，并报请浙江省教育厅批准后，可以转入浙江中医药大学学习，毕业时颁发</w:t>
      </w:r>
      <w:r>
        <w:rPr>
          <w:rFonts w:ascii="Times New Roman" w:eastAsia="Times New Roman" w:hAnsi="Times New Roman" w:cs="Times New Roman"/>
        </w:rPr>
        <w:t>“</w:t>
      </w:r>
      <w:r>
        <w:rPr>
          <w:rFonts w:ascii="SimSun" w:eastAsia="SimSun" w:hAnsi="SimSun" w:cs="SimSun"/>
        </w:rPr>
        <w:t>浙江中医药大学</w:t>
      </w:r>
      <w:r>
        <w:rPr>
          <w:rFonts w:ascii="Times New Roman" w:eastAsia="Times New Roman" w:hAnsi="Times New Roman" w:cs="Times New Roman"/>
        </w:rPr>
        <w:t>”</w:t>
      </w:r>
      <w:r>
        <w:rPr>
          <w:rFonts w:ascii="SimSun" w:eastAsia="SimSun" w:hAnsi="SimSun" w:cs="SimSun"/>
        </w:rPr>
        <w:t>毕业证书，符合学士学位授予条件的授予</w:t>
      </w:r>
      <w:r>
        <w:rPr>
          <w:rFonts w:ascii="Times New Roman" w:eastAsia="Times New Roman" w:hAnsi="Times New Roman" w:cs="Times New Roman"/>
        </w:rPr>
        <w:t>“</w:t>
      </w:r>
      <w:r>
        <w:rPr>
          <w:rFonts w:ascii="SimSun" w:eastAsia="SimSun" w:hAnsi="SimSun" w:cs="SimSun"/>
        </w:rPr>
        <w:t>浙江中医药大学</w:t>
      </w:r>
      <w:r>
        <w:rPr>
          <w:rFonts w:ascii="Times New Roman" w:eastAsia="Times New Roman" w:hAnsi="Times New Roman" w:cs="Times New Roman"/>
        </w:rPr>
        <w:t>”</w:t>
      </w:r>
      <w:r>
        <w:rPr>
          <w:rFonts w:ascii="SimSun" w:eastAsia="SimSun" w:hAnsi="SimSun" w:cs="SimSun"/>
        </w:rPr>
        <w:t>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0571-86613520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0571-86613520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联系地址：浙江中医药大学学生处招生办公室（滨文校区）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 xml:space="preserve">http://zsb.zcmu.edu.cn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学校招生各项事务由浙江中医药大学招生办公室执行，不委托任何机构和个人办理招生相关事宜。对以浙江中医药大学滨江学院名义进行非法招生宣传等活动的机构或个人，我校保留依法追究其责任的权利。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本章程自公布之日起实施，由浙江中医药大学招生办公室负责解释。若有与国家和上级有关政策不一致之处，以国家和上级有关政策为准。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6.html" TargetMode="External" /><Relationship Id="rId5" Type="http://schemas.openxmlformats.org/officeDocument/2006/relationships/hyperlink" Target="http://www.gk114.com/a/gxzs/zszc/zhejiang/2019/0630/1041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