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浙江商业职业技术学院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进一步做好我校招生录取工作，体现公开、公平、公正原则，根据《中华人民共和国教育法》、《中华人民共和国高等教育法》和教育主管部门的有关政策和规定，结合学校的实际情况，制定本招生章程。本章程适用于浙江商业职业技术学院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学校全称：浙江商业职业技术学院；校址：浙江省杭州市滨江区滨文路</w:t>
      </w:r>
      <w:r>
        <w:rPr>
          <w:rFonts w:ascii="Times New Roman" w:eastAsia="Times New Roman" w:hAnsi="Times New Roman" w:cs="Times New Roman"/>
        </w:rPr>
        <w:t>470</w:t>
      </w:r>
      <w:r>
        <w:rPr>
          <w:rFonts w:ascii="SimSun" w:eastAsia="SimSun" w:hAnsi="SimSun" w:cs="SimSun"/>
        </w:rPr>
        <w:t>号，分滨江、德胜两个校区；办学层次：普通专科（高职）；办学类型：公办全日制高等职业院校；学校国标码</w:t>
      </w:r>
      <w:r>
        <w:rPr>
          <w:rFonts w:ascii="Times New Roman" w:eastAsia="Times New Roman" w:hAnsi="Times New Roman" w:cs="Times New Roman"/>
        </w:rPr>
        <w:t>12865</w:t>
      </w:r>
      <w:r>
        <w:rPr>
          <w:rFonts w:ascii="SimSun" w:eastAsia="SimSun" w:hAnsi="SimSun" w:cs="SimSun"/>
        </w:rPr>
        <w:t>，浙江省招生代码</w:t>
      </w:r>
      <w:r>
        <w:rPr>
          <w:rFonts w:ascii="Times New Roman" w:eastAsia="Times New Roman" w:hAnsi="Times New Roman" w:cs="Times New Roman"/>
        </w:rPr>
        <w:t>0046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经浙江省人民政府批准设立的公办高等职业技术学院，是教育部高职高专人才培养工作水平评估优秀院校、全国商业服务业校企合作与人才培养优秀院校、全国创新创业教育研究与实践先进单位、全国高职高专院校科研工作先进单位、全国首批现代学徒制试点高校、浙江省示范性高等职业院校、浙江省职业教育先进单位、浙江省依法治校示范校、浙江省省级文明单位、浙江省首批优质高职院校。学校前身为创办于</w:t>
      </w:r>
      <w:r>
        <w:rPr>
          <w:rFonts w:ascii="Times New Roman" w:eastAsia="Times New Roman" w:hAnsi="Times New Roman" w:cs="Times New Roman"/>
        </w:rPr>
        <w:t>1911</w:t>
      </w:r>
      <w:r>
        <w:rPr>
          <w:rFonts w:ascii="SimSun" w:eastAsia="SimSun" w:hAnsi="SimSun" w:cs="SimSun"/>
        </w:rPr>
        <w:t>年的杭州中等商业学堂，具有百年商业职业教育历史。学校占地面积</w:t>
      </w:r>
      <w:r>
        <w:rPr>
          <w:rFonts w:ascii="Times New Roman" w:eastAsia="Times New Roman" w:hAnsi="Times New Roman" w:cs="Times New Roman"/>
        </w:rPr>
        <w:t>569</w:t>
      </w:r>
      <w:r>
        <w:rPr>
          <w:rFonts w:ascii="SimSun" w:eastAsia="SimSun" w:hAnsi="SimSun" w:cs="SimSun"/>
        </w:rPr>
        <w:t>亩，现有全日制在校生</w:t>
      </w:r>
      <w:r>
        <w:rPr>
          <w:rFonts w:ascii="Times New Roman" w:eastAsia="Times New Roman" w:hAnsi="Times New Roman" w:cs="Times New Roman"/>
        </w:rPr>
        <w:t>1.1</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学校经批准具有高等职业技术学历教育招生资格，学生毕业后颁发盖有浙江商业职业技术学院印鉴的全国普通高等教育高职（专科）毕业证书，国家电子注册。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学校成立招生领导小组，全面负责学校招生工作，下设浙江商业职业技术学院招生办公室，负责招生的日常事务。招生中的重大问题由学校党委研究决定。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学校纪检监察部门负责对招生录取全过程实施监督，并设立招生监督电话，接受社会监督。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根据教育部、浙江省教育厅核准的年度招生规模编制分省分专业招生计划。具体招生计划以各省教育考试院（或招生主管部门）公布为准。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学校负责、各省教育考试院（或招生办）监督</w:t>
      </w:r>
      <w:r>
        <w:rPr>
          <w:rFonts w:ascii="Times New Roman" w:eastAsia="Times New Roman" w:hAnsi="Times New Roman" w:cs="Times New Roman"/>
        </w:rPr>
        <w:t>”</w:t>
      </w:r>
      <w:r>
        <w:rPr>
          <w:rFonts w:ascii="SimSun" w:eastAsia="SimSun" w:hAnsi="SimSun" w:cs="SimSun"/>
        </w:rPr>
        <w:t>的录取体制。招生录取工作严格遵守教育部、各省、区高招委的有关政策规定，积极组织实施高校招生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的录取原则，全面衡量考生情况择优录取。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外语语种要求：不限；学校所有专业外语教学以英语为主。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各专业招生男女比例不限。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身体健康状况要求：所有专业的体检要求按照国家有关部委联合印发的《普通高等学校招生体检工作指导性意见》执行。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有关省（自治区、直辖市）教育考试院录取批次的安排，提前确定录取投档比例。结合各省（自治区、直辖市）考试院提供的本批次分数线以上生源情况及有关数据，视报考本校的上线生源情况，提前调整计划。接受各省（自治区、直辖市）考试院根据本批次生源情况按投档比例提供的投档名单进行录取，学校确定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面向浙江省</w:t>
      </w:r>
      <w:r>
        <w:rPr>
          <w:rFonts w:ascii="Times New Roman" w:eastAsia="Times New Roman" w:hAnsi="Times New Roman" w:cs="Times New Roman"/>
        </w:rPr>
        <w:t>“</w:t>
      </w:r>
      <w:r>
        <w:rPr>
          <w:rFonts w:ascii="SimSun" w:eastAsia="SimSun" w:hAnsi="SimSun" w:cs="SimSun"/>
        </w:rPr>
        <w:t>统一高考</w:t>
      </w:r>
      <w:r>
        <w:rPr>
          <w:rFonts w:ascii="Times New Roman" w:eastAsia="Times New Roman" w:hAnsi="Times New Roman" w:cs="Times New Roman"/>
        </w:rPr>
        <w:t>”</w:t>
      </w:r>
      <w:r>
        <w:rPr>
          <w:rFonts w:ascii="SimSun" w:eastAsia="SimSun" w:hAnsi="SimSun" w:cs="SimSun"/>
        </w:rPr>
        <w:t>招生的录取方式：以考生符合所填报志愿的选考科目范围为前提</w:t>
      </w:r>
      <w:r>
        <w:rPr>
          <w:rFonts w:ascii="Times New Roman" w:eastAsia="Times New Roman" w:hAnsi="Times New Roman" w:cs="Times New Roman"/>
        </w:rPr>
        <w:t>(</w:t>
      </w:r>
      <w:r>
        <w:rPr>
          <w:rFonts w:ascii="SimSun" w:eastAsia="SimSun" w:hAnsi="SimSun" w:cs="SimSun"/>
        </w:rPr>
        <w:t>以浙江省教育考试院公布的</w:t>
      </w:r>
      <w:r>
        <w:rPr>
          <w:rFonts w:ascii="Times New Roman" w:eastAsia="Times New Roman" w:hAnsi="Times New Roman" w:cs="Times New Roman"/>
        </w:rPr>
        <w:t>2018</w:t>
      </w:r>
      <w:r>
        <w:rPr>
          <w:rFonts w:ascii="SimSun" w:eastAsia="SimSun" w:hAnsi="SimSun" w:cs="SimSun"/>
        </w:rPr>
        <w:t>年拟在浙招生专业（类）选考科目范围为准</w:t>
      </w:r>
      <w:r>
        <w:rPr>
          <w:rFonts w:ascii="Times New Roman" w:eastAsia="Times New Roman" w:hAnsi="Times New Roman" w:cs="Times New Roman"/>
        </w:rPr>
        <w:t>)</w:t>
      </w:r>
      <w:r>
        <w:rPr>
          <w:rFonts w:ascii="SimSun" w:eastAsia="SimSun" w:hAnsi="SimSun" w:cs="SimSun"/>
        </w:rPr>
        <w:t>，根据浙江省教育考试院专业平行志愿分段投档提供的考生名单，按专业招生计划数从高分到低分进行录取，第三段录取后对未完成计划的专业，进行征求志愿录取。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面向浙江省</w:t>
      </w:r>
      <w:r>
        <w:rPr>
          <w:rFonts w:ascii="Times New Roman" w:eastAsia="Times New Roman" w:hAnsi="Times New Roman" w:cs="Times New Roman"/>
        </w:rPr>
        <w:t>“</w:t>
      </w:r>
      <w:r>
        <w:rPr>
          <w:rFonts w:ascii="SimSun" w:eastAsia="SimSun" w:hAnsi="SimSun" w:cs="SimSun"/>
        </w:rPr>
        <w:t>单独考试</w:t>
      </w:r>
      <w:r>
        <w:rPr>
          <w:rFonts w:ascii="Times New Roman" w:eastAsia="Times New Roman" w:hAnsi="Times New Roman" w:cs="Times New Roman"/>
        </w:rPr>
        <w:t>”</w:t>
      </w:r>
      <w:r>
        <w:rPr>
          <w:rFonts w:ascii="SimSun" w:eastAsia="SimSun" w:hAnsi="SimSun" w:cs="SimSun"/>
        </w:rPr>
        <w:t>招生的录取方式：根据浙江省教育考试院专业平行志愿投档提供的考生名单，按专业招生计划数从高分到低分进行录取，录取后对未完成计划的专业，进行征求志愿录取。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对实行平行志愿的省份，其录取方式按照</w:t>
      </w:r>
      <w:r>
        <w:rPr>
          <w:rFonts w:ascii="Times New Roman" w:eastAsia="Times New Roman" w:hAnsi="Times New Roman" w:cs="Times New Roman"/>
        </w:rPr>
        <w:t>“</w:t>
      </w:r>
      <w:r>
        <w:rPr>
          <w:rFonts w:ascii="SimSun" w:eastAsia="SimSun" w:hAnsi="SimSun" w:cs="SimSun"/>
        </w:rPr>
        <w:t>分数优先、遵循志愿、专业之间无级差</w:t>
      </w:r>
      <w:r>
        <w:rPr>
          <w:rFonts w:ascii="Times New Roman" w:eastAsia="Times New Roman" w:hAnsi="Times New Roman" w:cs="Times New Roman"/>
        </w:rPr>
        <w:t>”</w:t>
      </w:r>
      <w:r>
        <w:rPr>
          <w:rFonts w:ascii="SimSun" w:eastAsia="SimSun" w:hAnsi="SimSun" w:cs="SimSun"/>
        </w:rPr>
        <w:t>的原则开展录取工作。即对进档考生按分数从高分到低分顺序排列，按分数排序依次录取到第一专业，如第一专业录满，依次录取到第二、三专业，以此类推；若考生所填报的专业已录满，有填写</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按分数优先的原则录取到未满额的专业。实考分数无法满足填报的专业志愿，又不服从专业调剂的考生，将予以退档处理；当录取专业结构不平衡又无法调剂时，学校将在各省（自治区、直辖市）教育考试院统一安排下，通过征求志愿的方式完成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对未实行平行志愿的省份，其录取方式根据各省具体情况确定录取原则，采取</w:t>
      </w:r>
      <w:r>
        <w:rPr>
          <w:rFonts w:ascii="Times New Roman" w:eastAsia="Times New Roman" w:hAnsi="Times New Roman" w:cs="Times New Roman"/>
        </w:rPr>
        <w:t>“</w:t>
      </w:r>
      <w:r>
        <w:rPr>
          <w:rFonts w:ascii="SimSun" w:eastAsia="SimSun" w:hAnsi="SimSun" w:cs="SimSun"/>
        </w:rPr>
        <w:t>志愿优先、从高分到低分、专业之间无级差</w:t>
      </w:r>
      <w:r>
        <w:rPr>
          <w:rFonts w:ascii="Times New Roman" w:eastAsia="Times New Roman" w:hAnsi="Times New Roman" w:cs="Times New Roman"/>
        </w:rPr>
        <w:t>”</w:t>
      </w:r>
      <w:r>
        <w:rPr>
          <w:rFonts w:ascii="SimSun" w:eastAsia="SimSun" w:hAnsi="SimSun" w:cs="SimSun"/>
        </w:rPr>
        <w:t>的录取办法，根据进档考生填报本校的专业志愿顺序、分数高低和各专业招生计划数择优录取。即先录取填报本校第一专业志愿的考生，若第一志愿不足时，再考虑第二专业志愿考生，依此类推。当考生的所有专业志愿均不能满足时，视考生是否服从专业调剂，服从的调剂到未完成录取计划的专业，不服从则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对享受加分政策投档的考生，在总分相同的情况下优先录取；具有专业特长、文体特长的考生，在总分相同的前提下，优先录取。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对部分普高统招和单独考试招生采用专业类招生，其中旅游类（包含酒店管理、导游、旅游英语专业）、餐饮类（包含西餐工艺、餐饮管理）、电子信息类（包含电子信息工程技术、应用电子技术、物联网应用技术专业）按专业类招生，学生入学一学期后分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根据生源情况确需进行招生计划调整时，学校向计划主管部门及省级招生主管部门提出申请，经同意后执行。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中职技能优秀免试生招生、录取工作按照浙江省教育考试院相关规定执行。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收费与证书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学校严格按浙江省物价局、浙江省财政厅、浙江省教育厅公布和备案的浙江省公办普通高等职业院校学费、住宿费执行。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注册后，学校依据《浙江商业职业技术学院学籍管理办法》进行管理，按专业人才培养方案进行培养，毕业后颁发由国家教育部统一电子注册的盖有浙江商业职业技术学院印鉴的全国普通高等教育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中外合作办学专业的学生，录取后不予转专业，其他专业的学生按照《浙江商业职业技术学院学籍管理办法》的相关规定执行。学生修完中外合作办学项目课程后，毕业时可获得浙江商业职业技术学院普通高等教育专科（高职）学历证书和境外机构的专业证书或课程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学校设立各类奖学金，奖励优秀学生报考我校。其中新生一等奖学金奖励标准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人；新生二等奖学金奖励标准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人；新生三等奖学金奖励标准</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具体评选按照《浙江商业职业技术学院优秀新生奖学金评定办法》执行）。学校提供出国（境）专业研修学习奖学金，获得新生奖学金者、高考投档成绩超过浙江省普通类统一高考二段线分数及以上的学生和超过艺术类第二批一段线分数及以上的考生，经选拔，均有机会获得每人</w:t>
      </w:r>
      <w:r>
        <w:rPr>
          <w:rFonts w:ascii="Times New Roman" w:eastAsia="Times New Roman" w:hAnsi="Times New Roman" w:cs="Times New Roman"/>
        </w:rPr>
        <w:t>3000-5000</w:t>
      </w:r>
      <w:r>
        <w:rPr>
          <w:rFonts w:ascii="SimSun" w:eastAsia="SimSun" w:hAnsi="SimSun" w:cs="SimSun"/>
        </w:rPr>
        <w:t>元不等的出国（境）专业研修学习项目资助。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此外，在校生可参加国家奖学金、省政府奖学金、国家励志奖学金和企业奖学金的评定；对家庭贫困的学生和品学兼优的学生提供国家助学金、勤工助学金、国家贴息助学贷款、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入学和临时困难补助等多种形式帮助学生完成学业。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学校新生录取通知书签发人为张宝忠院长。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考生录取结果公布渠道：以省级教育考试机构公布的录取结果查询渠道、我校招生网录取查询及寄发的录取通知书为准。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被本校录取的新生，必须按《报到须知》中的规定，按期到本校办理入学手续，逾期不报到又无正当理由者，取消入学资格。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新生入学后，学校按规定进行体检复查和招生条件复查，不符合录取条件者，取消入学资格。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联系地址：浙江省杭州市滨文路</w:t>
      </w:r>
      <w:r>
        <w:rPr>
          <w:rFonts w:ascii="Times New Roman" w:eastAsia="Times New Roman" w:hAnsi="Times New Roman" w:cs="Times New Roman"/>
        </w:rPr>
        <w:t>470</w:t>
      </w:r>
      <w:r>
        <w:rPr>
          <w:rFonts w:ascii="SimSun" w:eastAsia="SimSun" w:hAnsi="SimSun" w:cs="SimSun"/>
        </w:rPr>
        <w:t>号浙江商业职业技术学院招生就业处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310053   </w:t>
      </w:r>
      <w:r>
        <w:rPr>
          <w:rFonts w:ascii="SimSun" w:eastAsia="SimSun" w:hAnsi="SimSun" w:cs="SimSun"/>
        </w:rPr>
        <w:t>联系电话：</w:t>
      </w:r>
      <w:r>
        <w:rPr>
          <w:rFonts w:ascii="Times New Roman" w:eastAsia="Times New Roman" w:hAnsi="Times New Roman" w:cs="Times New Roman"/>
        </w:rPr>
        <w:t>0571-58108888</w:t>
      </w:r>
      <w:r>
        <w:rPr>
          <w:rFonts w:ascii="SimSun" w:eastAsia="SimSun" w:hAnsi="SimSun" w:cs="SimSun"/>
        </w:rPr>
        <w:t>、</w:t>
      </w:r>
      <w:r>
        <w:rPr>
          <w:rFonts w:ascii="Times New Roman" w:eastAsia="Times New Roman" w:hAnsi="Times New Roman" w:cs="Times New Roman"/>
        </w:rPr>
        <w:t xml:space="preserve">58108080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http://www.zjbc.edu.cn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学校招生信息网址：</w:t>
      </w:r>
      <w:r>
        <w:rPr>
          <w:rFonts w:ascii="Times New Roman" w:eastAsia="Times New Roman" w:hAnsi="Times New Roman" w:cs="Times New Roman"/>
        </w:rPr>
        <w:t xml:space="preserve">http://zs.zjbc.edu.cn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0571-58108031</w:t>
      </w:r>
      <w:r>
        <w:rPr>
          <w:rFonts w:ascii="SimSun" w:eastAsia="SimSun" w:hAnsi="SimSun" w:cs="SimSun"/>
        </w:rPr>
        <w:t>、</w:t>
      </w:r>
      <w:r>
        <w:rPr>
          <w:rFonts w:ascii="Times New Roman" w:eastAsia="Times New Roman" w:hAnsi="Times New Roman" w:cs="Times New Roman"/>
        </w:rPr>
        <w:t xml:space="preserve">58108032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招生官方微信公众号：</w:t>
      </w:r>
      <w:r>
        <w:rPr>
          <w:rFonts w:ascii="Times New Roman" w:eastAsia="Times New Roman" w:hAnsi="Times New Roman" w:cs="Times New Roman"/>
        </w:rPr>
        <w:t xml:space="preserve">zjbczs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浙江建设职业技术学院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23.html" TargetMode="External" /><Relationship Id="rId5" Type="http://schemas.openxmlformats.org/officeDocument/2006/relationships/hyperlink" Target="http://www.gk114.com/a/gxzs/zszc/zhejiang/2019/0630/1037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