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浙江大学宁波理工学院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为保证浙江大学宁波理工学院招生工作顺利进行，切实维护学校和考生的合法权益，根据国家法律法规和教育部相关规定，结合学校实际情况，特制定本章程。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在省教育考试院监督下，学校招生工作实施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，对考生德、智、体、美、劳全面衡量，严格按照公开、公平、公正的原则，择优录取。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学校招生工作接受考生及家长、纪检监察部门、新闻媒体以及社会各界的监督。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学校全称：浙江大学宁波理工学院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办学地址：浙江省宁波市鄞州区钱湖南路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学校是经教育部和浙江省人民政府批准，由宁波市人民政府和浙江大学合作创办，浙江大学全面负责办学管理的全日制普通本科院校，占地约</w:t>
      </w:r>
      <w:r>
        <w:rPr>
          <w:rFonts w:ascii="Times New Roman" w:eastAsia="Times New Roman" w:hAnsi="Times New Roman" w:cs="Times New Roman"/>
        </w:rPr>
        <w:t>1200</w:t>
      </w:r>
      <w:r>
        <w:rPr>
          <w:rFonts w:ascii="SimSun" w:eastAsia="SimSun" w:hAnsi="SimSun" w:cs="SimSun"/>
        </w:rPr>
        <w:t>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符合毕业条件的学生，由浙江大学宁波理工学院颁发全国统一的全日制普通高等学校本科毕业证书，实行电子注册；符合学位授予条件的学生，按照教育部有关规定由学校授予学士学位。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学校设立招生工作领导小组，负责制定招生政策、决定招生重大事项。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学校招生与就业指导处作为常设机构，负责组织和实施招生工作。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学校招生录取工作由学校监察审计处（纪委办）全程监督。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13</w:t>
      </w:r>
      <w:r>
        <w:rPr>
          <w:rFonts w:ascii="SimSun" w:eastAsia="SimSun" w:hAnsi="SimSun" w:cs="SimSun"/>
        </w:rPr>
        <w:t>个省</w:t>
      </w:r>
      <w:r>
        <w:rPr>
          <w:rFonts w:ascii="Times New Roman" w:eastAsia="Times New Roman" w:hAnsi="Times New Roman" w:cs="Times New Roman"/>
        </w:rPr>
        <w:t xml:space="preserve"> </w:t>
      </w:r>
      <w:r>
        <w:rPr>
          <w:rFonts w:ascii="SimSun" w:eastAsia="SimSun" w:hAnsi="SimSun" w:cs="SimSun"/>
        </w:rPr>
        <w:t>（市、自治区）招生</w:t>
      </w:r>
      <w:r>
        <w:rPr>
          <w:rFonts w:ascii="Times New Roman" w:eastAsia="Times New Roman" w:hAnsi="Times New Roman" w:cs="Times New Roman"/>
        </w:rPr>
        <w:t xml:space="preserve">, </w:t>
      </w:r>
      <w:r>
        <w:rPr>
          <w:rFonts w:ascii="SimSun" w:eastAsia="SimSun" w:hAnsi="SimSun" w:cs="SimSun"/>
        </w:rPr>
        <w:t>招生计划以各省（市、自治区）招生主管部门公布为准。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浙江省：数字媒体艺术、环境设计专业面向艺术类第二批（省统考专业）招生，其他专业面向普通类（含普通类提前）招生，考生所填报的专业（类）志愿须满足该专业（类）选考科目要求。其他省（市、自治区）的招生专业按照各地招生主管部门公布的批次、科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学校按照教育部及各省（市、自治区）招生主管部门规定的比例调取考生档案。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浙江省按照新高考录取政策执行，具体录取规则如下：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普通类、艺术类平行录取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）以考生符合所填报志愿的专业（类）选考科目要求为前提，根据考生高考总分，实行专业平行志愿投档，直接投到考生所填报的具体专业（类），投档比例为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）考生位次</w:t>
      </w:r>
      <w:r>
        <w:rPr>
          <w:rFonts w:ascii="Times New Roman" w:eastAsia="Times New Roman" w:hAnsi="Times New Roman" w:cs="Times New Roman"/>
        </w:rPr>
        <w:t>:</w:t>
      </w:r>
      <w:r>
        <w:rPr>
          <w:rFonts w:ascii="SimSun" w:eastAsia="SimSun" w:hAnsi="SimSun" w:cs="SimSun"/>
        </w:rPr>
        <w:t>考生高考总分相同时，则按文化总分（剔除加分）、语文数学总分、语文或数学单科成绩、外语单科成绩、选考科目单科成绩高低排序。艺术类（美术类）考生位次按该类别所有考生综合分成绩确定，综合分成绩相同时，优先考虑专业（术科）成绩，仍相同时，再按普通类的规则对文化成绩进行排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普通类提前录取：</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综合评价招生录取根据《浙江大学宁波理工学院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综合评价招生章程》规定执行；地方专项计划录取按照浙江省教育厅及考试院的有关规定执行。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实行院校平行志愿录取方式的省外招生批次，录取规则具体如下：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分数优先、遵从志愿</w:t>
      </w:r>
      <w:r>
        <w:rPr>
          <w:rFonts w:ascii="Times New Roman" w:eastAsia="Times New Roman" w:hAnsi="Times New Roman" w:cs="Times New Roman"/>
        </w:rPr>
        <w:t>”</w:t>
      </w:r>
      <w:r>
        <w:rPr>
          <w:rFonts w:ascii="SimSun" w:eastAsia="SimSun" w:hAnsi="SimSun" w:cs="SimSun"/>
        </w:rPr>
        <w:t>原则，根据各省（市、自治区）专业（类）的招生计划数，从高分到低分依次录取，不设专业间分数级差。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凡符合各省（市、自治区）教育主管部门文件规定给予加分的考生在同等条件下优先录取。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当考生填报的专业志愿均未被录取时，对服从调剂的考生，从高分到低分，调剂到未录满的专业（类）；对不服从调剂的考生，或者体检不符合有关规定的考生，予以退档处理。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录取专业排序中考生总分相同时，则按文化总分</w:t>
      </w:r>
      <w:r>
        <w:rPr>
          <w:rFonts w:ascii="Times New Roman" w:eastAsia="Times New Roman" w:hAnsi="Times New Roman" w:cs="Times New Roman"/>
        </w:rPr>
        <w:t>(</w:t>
      </w:r>
      <w:r>
        <w:rPr>
          <w:rFonts w:ascii="SimSun" w:eastAsia="SimSun" w:hAnsi="SimSun" w:cs="SimSun"/>
        </w:rPr>
        <w:t>剔除加分</w:t>
      </w:r>
      <w:r>
        <w:rPr>
          <w:rFonts w:ascii="Times New Roman" w:eastAsia="Times New Roman" w:hAnsi="Times New Roman" w:cs="Times New Roman"/>
        </w:rPr>
        <w:t>)</w:t>
      </w:r>
      <w:r>
        <w:rPr>
          <w:rFonts w:ascii="SimSun" w:eastAsia="SimSun" w:hAnsi="SimSun" w:cs="SimSun"/>
        </w:rPr>
        <w:t>高低，文化总分仍相同时再按单科顺序及分数高低（有特殊规定省份则遵循该省文件执行）。单科顺序排列：文科为语文、文科综合、数学、外语；理科为数学、理科综合、语文、外语。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对江苏省考生，选测科目等级要求为</w:t>
      </w:r>
      <w:r>
        <w:rPr>
          <w:rFonts w:ascii="Times New Roman" w:eastAsia="Times New Roman" w:hAnsi="Times New Roman" w:cs="Times New Roman"/>
        </w:rPr>
        <w:t>BC</w:t>
      </w:r>
      <w:r>
        <w:rPr>
          <w:rFonts w:ascii="SimSun" w:eastAsia="SimSun" w:hAnsi="SimSun" w:cs="SimSun"/>
        </w:rPr>
        <w:t>（即两门选测科目其中任意一门达到</w:t>
      </w:r>
      <w:r>
        <w:rPr>
          <w:rFonts w:ascii="Times New Roman" w:eastAsia="Times New Roman" w:hAnsi="Times New Roman" w:cs="Times New Roman"/>
        </w:rPr>
        <w:t>B</w:t>
      </w:r>
      <w:r>
        <w:rPr>
          <w:rFonts w:ascii="SimSun" w:eastAsia="SimSun" w:hAnsi="SimSun" w:cs="SimSun"/>
        </w:rPr>
        <w:t>，另一门达到</w:t>
      </w:r>
      <w:r>
        <w:rPr>
          <w:rFonts w:ascii="Times New Roman" w:eastAsia="Times New Roman" w:hAnsi="Times New Roman" w:cs="Times New Roman"/>
        </w:rPr>
        <w:t>C</w:t>
      </w:r>
      <w:r>
        <w:rPr>
          <w:rFonts w:ascii="SimSun" w:eastAsia="SimSun" w:hAnsi="SimSun" w:cs="SimSun"/>
        </w:rPr>
        <w:t>），必修测试科目等级是</w:t>
      </w:r>
      <w:r>
        <w:rPr>
          <w:rFonts w:ascii="Times New Roman" w:eastAsia="Times New Roman" w:hAnsi="Times New Roman" w:cs="Times New Roman"/>
        </w:rPr>
        <w:t>4C1</w:t>
      </w:r>
      <w:r>
        <w:rPr>
          <w:rFonts w:ascii="SimSun" w:eastAsia="SimSun" w:hAnsi="SimSun" w:cs="SimSun"/>
        </w:rPr>
        <w:t>合格及以上；进档考生按照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的原则择优录取，当投档成绩相同时，选测科目等级高者优先，如仍相同，再按单科顺序及分数高低依次录取，文科按语文（含附加分）、数学、外语排序，理科按数学（含附加分）、语文、外语排序。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实行院校传统志愿录取方式的省外招生批次，根据该省相关规定，按照志愿优先的原则进行录取。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省外艺术类专业，学校采用各省（市、自治区）的美术统考成绩。除有明确录取办法的省（市、自治区）外，对文化、专业（术科）成绩均符合本科报考要求的考生，按综合分从高到低择优录取，若综合分相同，专业（术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文化成绩总分（按高考总分</w:t>
      </w:r>
      <w:r>
        <w:rPr>
          <w:rFonts w:ascii="Times New Roman" w:eastAsia="Times New Roman" w:hAnsi="Times New Roman" w:cs="Times New Roman"/>
        </w:rPr>
        <w:t>750</w:t>
      </w:r>
      <w:r>
        <w:rPr>
          <w:rFonts w:ascii="SimSun" w:eastAsia="SimSun" w:hAnsi="SimSun" w:cs="SimSun"/>
        </w:rPr>
        <w:t>分计）</w:t>
      </w:r>
      <w:r>
        <w:rPr>
          <w:rFonts w:ascii="Times New Roman" w:eastAsia="Times New Roman" w:hAnsi="Times New Roman" w:cs="Times New Roman"/>
        </w:rPr>
        <w:t xml:space="preserve">×50% + </w:t>
      </w:r>
      <w:r>
        <w:rPr>
          <w:rFonts w:ascii="SimSun" w:eastAsia="SimSun" w:hAnsi="SimSun" w:cs="SimSun"/>
        </w:rPr>
        <w:t>专业成绩（按满分</w:t>
      </w:r>
      <w:r>
        <w:rPr>
          <w:rFonts w:ascii="Times New Roman" w:eastAsia="Times New Roman" w:hAnsi="Times New Roman" w:cs="Times New Roman"/>
        </w:rPr>
        <w:t>100</w:t>
      </w:r>
      <w:r>
        <w:rPr>
          <w:rFonts w:ascii="SimSun" w:eastAsia="SimSun" w:hAnsi="SimSun" w:cs="SimSun"/>
        </w:rPr>
        <w:t>分计）</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被国际经济与贸易（中美合作办学）、金融学（中美合作办学）两个中外合作办学专业录取的学生前三学年在浙江大学宁波理工学院学习，第四学年须在美国印第安纳波利斯大学完成。被中外合作办学专业录取的学生入学后不能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学校在本科教学中公共外语为英语，非英语语种的考生填报志愿时，应慎重。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学校部分专业外语单科要求：国际经济与贸易（中美合作办学）、金融学（中美合作办学）、英语类（省外为外国语言文学类</w:t>
      </w:r>
      <w:r>
        <w:rPr>
          <w:rFonts w:ascii="Times New Roman" w:eastAsia="Times New Roman" w:hAnsi="Times New Roman" w:cs="Times New Roman"/>
        </w:rPr>
        <w:t>,</w:t>
      </w:r>
      <w:r>
        <w:rPr>
          <w:rFonts w:ascii="SimSun" w:eastAsia="SimSun" w:hAnsi="SimSun" w:cs="SimSun"/>
        </w:rPr>
        <w:t>含英语、商务英语专业）要求高考外语单科成绩原则上不低于</w:t>
      </w:r>
      <w:r>
        <w:rPr>
          <w:rFonts w:ascii="Times New Roman" w:eastAsia="Times New Roman" w:hAnsi="Times New Roman" w:cs="Times New Roman"/>
        </w:rPr>
        <w:t>100</w:t>
      </w:r>
      <w:r>
        <w:rPr>
          <w:rFonts w:ascii="SimSun" w:eastAsia="SimSun" w:hAnsi="SimSun" w:cs="SimSun"/>
        </w:rPr>
        <w:t>分，日语、国际经济与贸易专业原则上不低于</w:t>
      </w:r>
      <w:r>
        <w:rPr>
          <w:rFonts w:ascii="Times New Roman" w:eastAsia="Times New Roman" w:hAnsi="Times New Roman" w:cs="Times New Roman"/>
        </w:rPr>
        <w:t>90</w:t>
      </w:r>
      <w:r>
        <w:rPr>
          <w:rFonts w:ascii="SimSun" w:eastAsia="SimSun" w:hAnsi="SimSun" w:cs="SimSun"/>
        </w:rPr>
        <w:t>分。以上成绩按单科总分</w:t>
      </w:r>
      <w:r>
        <w:rPr>
          <w:rFonts w:ascii="Times New Roman" w:eastAsia="Times New Roman" w:hAnsi="Times New Roman" w:cs="Times New Roman"/>
        </w:rPr>
        <w:t>150</w:t>
      </w:r>
      <w:r>
        <w:rPr>
          <w:rFonts w:ascii="SimSun" w:eastAsia="SimSun" w:hAnsi="SimSun" w:cs="SimSun"/>
        </w:rPr>
        <w:t>分计，具体按各省（市、自治区）普通高考实际单科总分等比例换算。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学校在招生录取中不设男女比例限制。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身体健康状况的要求按教育部、卫生部、中国残疾人联合会印发的《普通高等学校招生体检工作指导意见》和《教育部办公厅、卫生部办公厅关于普通高等学校招生学生入学身体检查取消乙肝项目检测有关问题的通知》精神执行。对《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的，我校原则上按不录取执行。因专业培养需要，化学工程与工艺、制药工程、生物工程、高分子材料与工程专业不录取轻度色觉异常（俗称色弱）和色觉异常</w:t>
      </w:r>
      <w:r>
        <w:rPr>
          <w:rFonts w:ascii="Times New Roman" w:eastAsia="Times New Roman" w:hAnsi="Times New Roman" w:cs="Times New Roman"/>
        </w:rPr>
        <w:t>II</w:t>
      </w:r>
      <w:r>
        <w:rPr>
          <w:rFonts w:ascii="SimSun" w:eastAsia="SimSun" w:hAnsi="SimSun" w:cs="SimSun"/>
        </w:rPr>
        <w:t>度（俗称色盲）的考生；数字媒体艺术、环境设计不录取色觉异常</w:t>
      </w:r>
      <w:r>
        <w:rPr>
          <w:rFonts w:ascii="Times New Roman" w:eastAsia="Times New Roman" w:hAnsi="Times New Roman" w:cs="Times New Roman"/>
        </w:rPr>
        <w:t>II</w:t>
      </w:r>
      <w:r>
        <w:rPr>
          <w:rFonts w:ascii="SimSun" w:eastAsia="SimSun" w:hAnsi="SimSun" w:cs="SimSun"/>
        </w:rPr>
        <w:t>度（俗称色盲）的考生。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我校录取的新生，应在学校规定的期限内办理入学手续。因故不能按期入学者，应向学校请假，未请假或请假逾期者，除因不可抗力等正当事由以外，视为放弃入学资格。新生入学后，学校在三个月内按照国家招生规定对其进行复查。凡有不符合条件或有舞弊行为的，学校将根据有关规定作出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学校实行学分制收费。学费由专业学费和学分学费组成，每学年先按学年制收费标准预收。收费标准如下：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工业设计、机械工程、能源与环境系统工程、电子信息工程、通信工程、自动化、电气工程及其自动化、计算机科学与技术、数据科学与大数据技术、土木工程、建筑学、高分子材料与工程、化学工程与工艺、制药工程、生物工程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国际经济与贸易、金融学、财务管理、物流管理、市场营销、国际商务、电子商务、法学、英语、商务英语、日语、网络与新媒体、新闻学、信息与计算科学专业，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数字媒体艺术、环境设计专业，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国际经济与贸易（中美合作办学）、金融学（中美合作办学）专业，</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学生公寓实行后勤社会化管理，由学校统一安排。住宿费根据房型标准和省物价局等部门文件精神，按</w:t>
      </w:r>
      <w:r>
        <w:rPr>
          <w:rFonts w:ascii="Times New Roman" w:eastAsia="Times New Roman" w:hAnsi="Times New Roman" w:cs="Times New Roman"/>
        </w:rPr>
        <w:t>1500-2000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学校开展国家奖学金、国家励志奖学金、国家助学金等评选，同时学校设立各项奖学金、外设奖助学金，每年奖助学金总额超过一千万元。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录取结果将在学校招生网以及官方微信公众平台上公布。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学校招生咨询联系方式包括：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．招生热线：</w:t>
      </w:r>
      <w:r>
        <w:rPr>
          <w:rFonts w:ascii="Times New Roman" w:eastAsia="Times New Roman" w:hAnsi="Times New Roman" w:cs="Times New Roman"/>
        </w:rPr>
        <w:t xml:space="preserve">0574-88229100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．招生传真：</w:t>
      </w:r>
      <w:r>
        <w:rPr>
          <w:rFonts w:ascii="Times New Roman" w:eastAsia="Times New Roman" w:hAnsi="Times New Roman" w:cs="Times New Roman"/>
        </w:rPr>
        <w:t xml:space="preserve">0574-88130193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．咨询</w:t>
      </w:r>
      <w:r>
        <w:rPr>
          <w:rFonts w:ascii="Times New Roman" w:eastAsia="Times New Roman" w:hAnsi="Times New Roman" w:cs="Times New Roman"/>
        </w:rPr>
        <w:t xml:space="preserve">QQ:800049001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．通讯地址：浙江省宁波市鄞州区钱湖南路</w:t>
      </w:r>
      <w:r>
        <w:rPr>
          <w:rFonts w:ascii="Times New Roman" w:eastAsia="Times New Roman" w:hAnsi="Times New Roman" w:cs="Times New Roman"/>
        </w:rPr>
        <w:t>1</w:t>
      </w:r>
      <w:r>
        <w:rPr>
          <w:rFonts w:ascii="SimSun" w:eastAsia="SimSun" w:hAnsi="SimSun" w:cs="SimSun"/>
        </w:rPr>
        <w:t>号浙江大学宁波理工学院招生与就业指导处（邮编</w:t>
      </w:r>
      <w:r>
        <w:rPr>
          <w:rFonts w:ascii="Times New Roman" w:eastAsia="Times New Roman" w:hAnsi="Times New Roman" w:cs="Times New Roman"/>
        </w:rPr>
        <w:t>315100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．学校网址：</w:t>
      </w:r>
      <w:r>
        <w:rPr>
          <w:rFonts w:ascii="Times New Roman" w:eastAsia="Times New Roman" w:hAnsi="Times New Roman" w:cs="Times New Roman"/>
        </w:rPr>
        <w:t xml:space="preserve">http://www.nit.zju.edu.cn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http://zsw.nit.zju.edu.cn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微信公众号：</w:t>
      </w:r>
      <w:r>
        <w:rPr>
          <w:rFonts w:ascii="Times New Roman" w:eastAsia="Times New Roman" w:hAnsi="Times New Roman" w:cs="Times New Roman"/>
        </w:rPr>
        <w:t xml:space="preserve">nit_zs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本章程自公布之日起生效，由浙江大学宁波理工学院招生与就业指导处负责解释。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浙江大学宁波理工学院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义乌工商职业技术学院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浙江纺织服装职业技术学院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8.html" TargetMode="External" /><Relationship Id="rId5" Type="http://schemas.openxmlformats.org/officeDocument/2006/relationships/hyperlink" Target="http://www.gk114.com/a/gxzs/zszc/zhejiang/2019/0630/1041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