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为规范招生工作，确保招生工作顺利进行，根据《中华人民共和国教育法》、《中华人民共和国高等教育法》和教育主管部门有关政策和规定，结合浙江工业大学招生工作的实际情况，特制定本章程。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年浙江工业大学全日制普通本科招生工作。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学校全称：浙江工业大学。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颁发证书：我校培养的本科生在规定年限内达到所在专业毕业要求者，颁发浙江工业大学本科毕业证书；符合学校学位授予有关规定者，颁发普通高等教育本科毕业生学士学位证书。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学校地址：朝晖校区（含德胜园）地处杭州市下城区潮王路</w:t>
      </w:r>
      <w:r>
        <w:rPr>
          <w:rFonts w:ascii="Times New Roman" w:eastAsia="Times New Roman" w:hAnsi="Times New Roman" w:cs="Times New Roman"/>
        </w:rPr>
        <w:t>18</w:t>
      </w:r>
      <w:r>
        <w:rPr>
          <w:rFonts w:ascii="SimSun" w:eastAsia="SimSun" w:hAnsi="SimSun" w:cs="SimSun"/>
        </w:rPr>
        <w:t>号（德胜园位于假山路</w:t>
      </w:r>
      <w:r>
        <w:rPr>
          <w:rFonts w:ascii="Times New Roman" w:eastAsia="Times New Roman" w:hAnsi="Times New Roman" w:cs="Times New Roman"/>
        </w:rPr>
        <w:t>33</w:t>
      </w:r>
      <w:r>
        <w:rPr>
          <w:rFonts w:ascii="SimSun" w:eastAsia="SimSun" w:hAnsi="SimSun" w:cs="SimSun"/>
        </w:rPr>
        <w:t>号）；屏峰校区地处杭州市西湖区留和路</w:t>
      </w:r>
      <w:r>
        <w:rPr>
          <w:rFonts w:ascii="Times New Roman" w:eastAsia="Times New Roman" w:hAnsi="Times New Roman" w:cs="Times New Roman"/>
        </w:rPr>
        <w:t>288</w:t>
      </w:r>
      <w:r>
        <w:rPr>
          <w:rFonts w:ascii="SimSun" w:eastAsia="SimSun" w:hAnsi="SimSun" w:cs="SimSun"/>
        </w:rPr>
        <w:t>号（杭州小和山高教园区内）；莫干山校区地处湖州市德清县长虹东街</w:t>
      </w:r>
      <w:r>
        <w:rPr>
          <w:rFonts w:ascii="Times New Roman" w:eastAsia="Times New Roman" w:hAnsi="Times New Roman" w:cs="Times New Roman"/>
        </w:rPr>
        <w:t>999</w:t>
      </w:r>
      <w:r>
        <w:rPr>
          <w:rFonts w:ascii="SimSun" w:eastAsia="SimSun" w:hAnsi="SimSun" w:cs="SimSun"/>
        </w:rPr>
        <w:t>号。全日制本科新生在朝晖校区、屏峰校区就学。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普通本科招生委员会，研究制订学校招生计划，确定招生政策和规则，决定招生重大事项。学校成立普通本科招生工作领导小组，负责贯彻执行相关的招生政策和规则，研究确定学校招生录取原则和具体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学校纪检监察办公室对学校招生工作实施全程监督。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31</w:t>
      </w:r>
      <w:r>
        <w:rPr>
          <w:rFonts w:ascii="SimSun" w:eastAsia="SimSun" w:hAnsi="SimSun" w:cs="SimSun"/>
        </w:rPr>
        <w:t>个省（市、自治区）招生，招生计划以各省（市、自治区）招生主管部门公布的招生计划为准。学校实行大类招生，学生进校一段时间以后，在充分了解类内各专业的基础上进行类内专业确认。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学校执行考生所在省（市、自治区）招生主管部门关于投档的相关规定，确定调档比例。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对考生的体检要求按照教育部、卫生部、中国残疾人联合会印发的《普通高等学校招生体检工作指导意见》及有关补充规定执行。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学校外语公共课为英语。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学校英语单科成绩有要求的专业：外国语言文学类、英语专业要求</w:t>
      </w:r>
      <w:r>
        <w:rPr>
          <w:rFonts w:ascii="Times New Roman" w:eastAsia="Times New Roman" w:hAnsi="Times New Roman" w:cs="Times New Roman"/>
        </w:rPr>
        <w:t>110</w:t>
      </w:r>
      <w:r>
        <w:rPr>
          <w:rFonts w:ascii="SimSun" w:eastAsia="SimSun" w:hAnsi="SimSun" w:cs="SimSun"/>
        </w:rPr>
        <w:t>分（含）以上；日语、国际学院中外合作办学专业要求</w:t>
      </w:r>
      <w:r>
        <w:rPr>
          <w:rFonts w:ascii="Times New Roman" w:eastAsia="Times New Roman" w:hAnsi="Times New Roman" w:cs="Times New Roman"/>
        </w:rPr>
        <w:t>100</w:t>
      </w:r>
      <w:r>
        <w:rPr>
          <w:rFonts w:ascii="SimSun" w:eastAsia="SimSun" w:hAnsi="SimSun" w:cs="SimSun"/>
        </w:rPr>
        <w:t>分（含）以上；播音与主持艺术、设计学类专业（在浙江省招生为艺术设计类，含环境设计、视觉传达设计、公共艺术、数字媒体艺术四个专业）要求</w:t>
      </w:r>
      <w:r>
        <w:rPr>
          <w:rFonts w:ascii="Times New Roman" w:eastAsia="Times New Roman" w:hAnsi="Times New Roman" w:cs="Times New Roman"/>
        </w:rPr>
        <w:t>75</w:t>
      </w:r>
      <w:r>
        <w:rPr>
          <w:rFonts w:ascii="SimSun" w:eastAsia="SimSun" w:hAnsi="SimSun" w:cs="SimSun"/>
        </w:rPr>
        <w:t>分（含）以上。如英语单科成绩符合条件的生源不足，则按英语单科成绩</w:t>
      </w:r>
      <w:r>
        <w:rPr>
          <w:rFonts w:ascii="Times New Roman" w:eastAsia="Times New Roman" w:hAnsi="Times New Roman" w:cs="Times New Roman"/>
        </w:rPr>
        <w:t>5</w:t>
      </w:r>
      <w:r>
        <w:rPr>
          <w:rFonts w:ascii="SimSun" w:eastAsia="SimSun" w:hAnsi="SimSun" w:cs="SimSun"/>
        </w:rPr>
        <w:t>分一档降分录取；最高降分不超过</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以上英语成绩按单科总分</w:t>
      </w:r>
      <w:r>
        <w:rPr>
          <w:rFonts w:ascii="Times New Roman" w:eastAsia="Times New Roman" w:hAnsi="Times New Roman" w:cs="Times New Roman"/>
        </w:rPr>
        <w:t>150</w:t>
      </w:r>
      <w:r>
        <w:rPr>
          <w:rFonts w:ascii="SimSun" w:eastAsia="SimSun" w:hAnsi="SimSun" w:cs="SimSun"/>
        </w:rPr>
        <w:t>分计，具体按各省普通高考实际英语单科总分等比例换算。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学校在浙江省及全国其他公布综合素质评价方案省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的招生录取中参考普通高中学生综合素质评价信息，执行省级招生主管部门的相关规定，择优录取。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对实行院校平行志愿投档的进档考生，按照</w:t>
      </w:r>
      <w:r>
        <w:rPr>
          <w:rFonts w:ascii="Times New Roman" w:eastAsia="Times New Roman" w:hAnsi="Times New Roman" w:cs="Times New Roman"/>
        </w:rPr>
        <w:t>“</w:t>
      </w:r>
      <w:r>
        <w:rPr>
          <w:rFonts w:ascii="SimSun" w:eastAsia="SimSun" w:hAnsi="SimSun" w:cs="SimSun"/>
        </w:rPr>
        <w:t>分数优先、平行志愿</w:t>
      </w:r>
      <w:r>
        <w:rPr>
          <w:rFonts w:ascii="Times New Roman" w:eastAsia="Times New Roman" w:hAnsi="Times New Roman" w:cs="Times New Roman"/>
        </w:rPr>
        <w:t>”</w:t>
      </w:r>
      <w:r>
        <w:rPr>
          <w:rFonts w:ascii="SimSun" w:eastAsia="SimSun" w:hAnsi="SimSun" w:cs="SimSun"/>
        </w:rPr>
        <w:t>原则录取，专业志愿间不设级差分。若出现考生投档成绩相同，则参考相关科目成绩择优录取。当考生成绩无法满足其所填报的专业志愿时，如果考生服从专业调剂，学校按照考生的投档成绩从高分到低分调剂至未录满专业；对不服从专业调剂者，予以退档处理。非第一学校志愿（或平行志愿）的进档考生，在计划未满专业中根据上述原则录取。实行院校平行志愿投档的进档考生，只要专业服从且政审、体检符合条件，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学校在浙江省普通类专业招生实行专业平行志愿，考生所填报的专业（类）志愿须满足该专业（类）选考科目要求。进档考生，只要政审、单科成绩、体检符合条件，均予录取。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学校在上海市本科普通批次招生实行专业组平行志愿。考生所填报的专业组志愿须满足该专业组选考科目要求。进档考生专业录取规则按</w:t>
      </w:r>
      <w:r>
        <w:rPr>
          <w:rFonts w:ascii="Times New Roman" w:eastAsia="Times New Roman" w:hAnsi="Times New Roman" w:cs="Times New Roman"/>
        </w:rPr>
        <w:t>“</w:t>
      </w:r>
      <w:r>
        <w:rPr>
          <w:rFonts w:ascii="SimSun" w:eastAsia="SimSun" w:hAnsi="SimSun" w:cs="SimSun"/>
        </w:rPr>
        <w:t>分数优先，平行志愿</w:t>
      </w:r>
      <w:r>
        <w:rPr>
          <w:rFonts w:ascii="Times New Roman" w:eastAsia="Times New Roman" w:hAnsi="Times New Roman" w:cs="Times New Roman"/>
        </w:rPr>
        <w:t>”</w:t>
      </w:r>
      <w:r>
        <w:rPr>
          <w:rFonts w:ascii="SimSun" w:eastAsia="SimSun" w:hAnsi="SimSun" w:cs="SimSun"/>
        </w:rPr>
        <w:t>的原则择优录取，专业间不设级差分。当考生高考总分无法满足其所填报的专业志愿时，如果考生服从专业调剂，学校根据高考总分从高分到低分调剂到招生计划未满专业（专业调剂录取只能在考生所投档的专业组内进行），因不服从专业志愿调剂、不符合专业录取条件等原因不能被录取的考生，学校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报考我校健行学院的基本条件（不含</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考生）：高考投档成绩须高出省第一段线</w:t>
      </w:r>
      <w:r>
        <w:rPr>
          <w:rFonts w:ascii="Times New Roman" w:eastAsia="Times New Roman" w:hAnsi="Times New Roman" w:cs="Times New Roman"/>
        </w:rPr>
        <w:t>50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（一）高考总分位次号在全省前</w:t>
      </w:r>
      <w:r>
        <w:rPr>
          <w:rFonts w:ascii="Times New Roman" w:eastAsia="Times New Roman" w:hAnsi="Times New Roman" w:cs="Times New Roman"/>
        </w:rPr>
        <w:t>3000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奖励大学本科四年学费（建筑类为五年）；学校聘请中国科学院、中国工程院院士为其新生师友；大学期间可享受两次学校第二校园经历经费资助的国（境）内外交流学习机会，具体标准参照《浙江工业大学本科生第二校园经历经费资助办法》；在学校类内专业确认时，确保专业确认到学生所填的第一个专业；大学期间综合测评总评和平均学分绩点总评排名均列专业前</w:t>
      </w:r>
      <w:r>
        <w:rPr>
          <w:rFonts w:ascii="Times New Roman" w:eastAsia="Times New Roman" w:hAnsi="Times New Roman" w:cs="Times New Roman"/>
        </w:rPr>
        <w:t>30%</w:t>
      </w:r>
      <w:r>
        <w:rPr>
          <w:rFonts w:ascii="SimSun" w:eastAsia="SimSun" w:hAnsi="SimSun" w:cs="SimSun"/>
        </w:rPr>
        <w:t>，符合学校保送读研基本要求，可直接获得硕士研究生保送推荐资格（具体办法参见《浙江工业大学关于直接选拔优秀新生获得免试攻读硕士学位研究生推荐资格实施办法》）。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高考总分位次号在全省前</w:t>
      </w:r>
      <w:r>
        <w:rPr>
          <w:rFonts w:ascii="Times New Roman" w:eastAsia="Times New Roman" w:hAnsi="Times New Roman" w:cs="Times New Roman"/>
        </w:rPr>
        <w:t>6000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的浙江省进档考生：奖励大学本科四年学费（建筑类为五年）；学校聘请国家杰出青年基金获得者、长江学者奖励计划入选者、国家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入选者、国家级有突出贡献中青年专家、国家级教学名师等国家级人才称号的教师为其新生师友；大学期间可享受两次学校第二校园经历经费资助的国（境）内外交流学习机会，具体标准参照《浙江工业大学本科生第二校园经历经费资助办法》；在学校类内专业确认时，确保专业确认到学生所填的第一个专业；大学期间综合测评总评和平均学分绩点总评排名均列专业前</w:t>
      </w:r>
      <w:r>
        <w:rPr>
          <w:rFonts w:ascii="Times New Roman" w:eastAsia="Times New Roman" w:hAnsi="Times New Roman" w:cs="Times New Roman"/>
        </w:rPr>
        <w:t>30%</w:t>
      </w:r>
      <w:r>
        <w:rPr>
          <w:rFonts w:ascii="SimSun" w:eastAsia="SimSun" w:hAnsi="SimSun" w:cs="SimSun"/>
        </w:rPr>
        <w:t>，符合学校保送读研基本要求，可直接获得硕士研究生保送推荐资格（具体办法参见《浙江工业大学关于直接选拔优秀新生获得免试攻读硕士学位研究生推荐资格实施办法》）。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高考总分位次号在全省前</w:t>
      </w:r>
      <w:r>
        <w:rPr>
          <w:rFonts w:ascii="Times New Roman" w:eastAsia="Times New Roman" w:hAnsi="Times New Roman" w:cs="Times New Roman"/>
        </w:rPr>
        <w:t>9000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的浙江省进档考生：奖励大学本科前两年学费；学校聘请国家杰出青年基金获得者、长江学者奖励计划入选者、国家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入选者、国家级有突出贡献中青年专家、国家级教学名师等国家级人才称号的教师为其新生师友；大学期间可享受一次学校第二校园经历经费资助的国（境）内外交流学习机会，具体标准参照《浙江工业大学本科生第二校园经历经费资助办法》；在学校类内专业确认时，确保专业确认到学生所填的第一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（二）选考科目物理成绩优秀的学生，在学校理工科类内专业确认时，同等条件下优先确保专业确认到其所填的专业。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（三）学校设立新生奖学金。根据考生高考成绩和中学表现，结合各科类实际录取情况，学校确定新生奖学金获得者</w:t>
      </w:r>
      <w:r>
        <w:rPr>
          <w:rFonts w:ascii="Times New Roman" w:eastAsia="Times New Roman" w:hAnsi="Times New Roman" w:cs="Times New Roman"/>
        </w:rPr>
        <w:t>30</w:t>
      </w:r>
      <w:r>
        <w:rPr>
          <w:rFonts w:ascii="SimSun" w:eastAsia="SimSun" w:hAnsi="SimSun" w:cs="SimSun"/>
        </w:rPr>
        <w:t>名，奖金额为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对实行高考选考科目省（市、自治区）的考生，学校执行省级招生主管部门的相关规定。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学校对保送生的选拔录取工作按教育部相关规定执行。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学校对华侨、港澳台考生的招生录取按照中华人民共和国普通高等学校联合招收华侨、港澳地区及台湾省学生办公室的相关规定执行。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学校高水平运动员招生按照《浙江工业大学</w:t>
      </w:r>
      <w:r>
        <w:rPr>
          <w:rFonts w:ascii="Times New Roman" w:eastAsia="Times New Roman" w:hAnsi="Times New Roman" w:cs="Times New Roman"/>
        </w:rPr>
        <w:t>2019</w:t>
      </w:r>
      <w:r>
        <w:rPr>
          <w:rFonts w:ascii="SimSun" w:eastAsia="SimSun" w:hAnsi="SimSun" w:cs="SimSun"/>
        </w:rPr>
        <w:t>年高水平运动员招生简章》的规定执行。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学校美术类专业招生按照《浙江工业大学</w:t>
      </w:r>
      <w:r>
        <w:rPr>
          <w:rFonts w:ascii="Times New Roman" w:eastAsia="Times New Roman" w:hAnsi="Times New Roman" w:cs="Times New Roman"/>
        </w:rPr>
        <w:t>2019</w:t>
      </w:r>
      <w:r>
        <w:rPr>
          <w:rFonts w:ascii="SimSun" w:eastAsia="SimSun" w:hAnsi="SimSun" w:cs="SimSun"/>
        </w:rPr>
        <w:t>年美术类专业招生简章》的规定执行。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学校播音与主持艺术专业招生按照《浙江工业大学</w:t>
      </w:r>
      <w:r>
        <w:rPr>
          <w:rFonts w:ascii="Times New Roman" w:eastAsia="Times New Roman" w:hAnsi="Times New Roman" w:cs="Times New Roman"/>
        </w:rPr>
        <w:t>2019</w:t>
      </w:r>
      <w:r>
        <w:rPr>
          <w:rFonts w:ascii="SimSun" w:eastAsia="SimSun" w:hAnsi="SimSun" w:cs="SimSun"/>
        </w:rPr>
        <w:t>年播音与主持艺术专业招生简章》的规定执行。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综合评价招生按照《浙江工业大学</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学校录取结果按照教育部和各省（市、自治区）的有关要求及规定进行公布。考生可登陆学校本科招生网查询。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入学复查、收费和资助等事项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学校严格按照浙江省物价部门批文和有关规定进行收费管理，新生学费按照《浙江工业大学关于调整普通本科学费标准的通知》（浙工大发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号）等文件规定执行。专业类内有专业学费标准差异的，按专业确认后的专业学费标准执行。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学校设有优秀学生奖学金、单项奖学金和各类专项奖学金，实行国家助学贷款、勤工助学、困难补助、学费减免等资助政策，开通经济困难新生入学报到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学校全面放开转专业，为学生提供多次自主选择专业的机会，同时提供辅修专业的机会。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学校不委托任何中介机构或个人进行招生录取工作，不收取国家规定外的任何费用。任何以我校名义进行非法招生宣传等活动的中介机构或个人，学校保留依法追究其责任的权利。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浙江工业大学本科招生网：</w:t>
      </w:r>
      <w:r>
        <w:rPr>
          <w:rFonts w:ascii="Times New Roman" w:eastAsia="Times New Roman" w:hAnsi="Times New Roman" w:cs="Times New Roman"/>
        </w:rPr>
        <w:t xml:space="preserve">http://zs.zjut.edu.cn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0571-88320032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0571-88320501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学校纪检监察部门申诉举报电话：</w:t>
      </w:r>
      <w:r>
        <w:rPr>
          <w:rFonts w:ascii="Times New Roman" w:eastAsia="Times New Roman" w:hAnsi="Times New Roman" w:cs="Times New Roman"/>
        </w:rPr>
        <w:t>0571-88320102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通讯地址：杭州市潮王路</w:t>
      </w:r>
      <w:r>
        <w:rPr>
          <w:rFonts w:ascii="Times New Roman" w:eastAsia="Times New Roman" w:hAnsi="Times New Roman" w:cs="Times New Roman"/>
        </w:rPr>
        <w:t>18</w:t>
      </w:r>
      <w:r>
        <w:rPr>
          <w:rFonts w:ascii="SimSun" w:eastAsia="SimSun" w:hAnsi="SimSun" w:cs="SimSun"/>
        </w:rPr>
        <w:t>号浙江工业大学招生办公室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本章程由浙江工业大学招生办公室负责解释。学校原公布的有关招生工作的制度、规定如与本章程相冲突，以本章程为准；本章程若有与国家和上级有关政策不一致之处，以国家和上级有关政策为准。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79.html" TargetMode="External" /><Relationship Id="rId5" Type="http://schemas.openxmlformats.org/officeDocument/2006/relationships/hyperlink" Target="http://www.gk114.com/a/gxzs/zszc/zhejiang/2019/0630/1038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