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浙江长征职业技术学院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第一章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第一条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为确保学院招生工作顺利进行，切实维护学院和考生的合法权益，根据《中华人民共和国教育法》、《中华人民共和国高等教育法》，以及教育主管部门的有关政策和规定，结合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院招生工作实际情况，特制订本章程。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第二条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本章程适用于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浙江长征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职业技术学院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2019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年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全日制高职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第三条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学院招生实施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“阳光工程”，遵循公开、公平、公正，择优录取的原则，并接受广大考生及其家长和社会各方面的监督。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第二章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学院概要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第四条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学院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全称：浙江长征职业技术学院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第五条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学院国家代码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13027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第六条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学院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办学地点：杭州市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第七条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校址：浙江省杭州市西湖区小和山高教园区留和路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525号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第八条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学院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办学性质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类型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经浙江省人民政府批准、教育部备案的全日制民办普通高等职业技术学院。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第九条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学院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办学层次：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专科（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高职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253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第三章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招生计划与录取原则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根据浙江省教育厅核准的年度招生规模编制分省分专业招生计划。学院以社会人才需求、学院发展规划、办学条件为依据制定招生计划，报浙江省教育厅批准后执行。具体以各省招生主管部门公布的招生计划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420" w:right="0" w:firstLine="28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第十一条 浙江省统一高考各招生专业选考科目范围如下表：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 </w:t>
      </w:r>
    </w:p>
    <w:tbl>
      <w:tblPr>
        <w:tblW w:w="14325" w:type="dxa"/>
        <w:tblInd w:w="7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76"/>
        <w:gridCol w:w="9329"/>
      </w:tblGrid>
      <w:tr>
        <w:tblPrEx>
          <w:tblW w:w="14325" w:type="dxa"/>
          <w:tblInd w:w="7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24" w:space="0" w:color="000000"/>
              <w:left w:val="single" w:sz="24" w:space="0" w:color="000000"/>
              <w:bottom w:val="single" w:sz="6" w:space="0" w:color="CCCCCC"/>
              <w:right w:val="single" w:sz="24" w:space="0" w:color="000000"/>
            </w:tcBorders>
            <w:noWrap w:val="0"/>
            <w:tcMar>
              <w:top w:w="45" w:type="dxa"/>
              <w:left w:w="45" w:type="dxa"/>
              <w:bottom w:w="8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</w:rPr>
              <w:t>专业名称</w:t>
            </w:r>
          </w:p>
        </w:tc>
        <w:tc>
          <w:tcPr>
            <w:tcW w:w="6020" w:type="dxa"/>
            <w:tcBorders>
              <w:top w:val="single" w:sz="24" w:space="0" w:color="000000"/>
              <w:bottom w:val="single" w:sz="6" w:space="0" w:color="CCCCCC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8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</w:rPr>
              <w:t>选考科目范围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建设工程管理</w:t>
            </w:r>
          </w:p>
        </w:tc>
        <w:tc>
          <w:tcPr>
            <w:tcW w:w="602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工程造价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工业机器人技术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无人机应用技术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汽车电子技术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空中乘务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城市轨道交通运营管理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电子信息工程技术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物联网应用技术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计算机应用技术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计算机信息管理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数字媒体应用技术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大数据技术与应用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证券与期货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互联网金融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财务管理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会计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统计与会计核算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国际经济与贸易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报关与国际货运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工商企业管理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中小企业创业与经营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电子商务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物流管理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旅游管理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网络新闻与传播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商务英语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电子竞技运动与管理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幼儿发展与健康管理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不限（所有考生均可填报）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软件技术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技术 生物 思想政治（1门相同即可填报）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计算机网络技术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技术 思想政治 历史（1门相同即可填报）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建筑装饰工程技术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历史 地理 技术（1门相同即可填报）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市场营销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思想政治 历史 技术（1门相同即可填报）</w:t>
            </w:r>
          </w:p>
        </w:tc>
      </w:tr>
      <w:tr>
        <w:tblPrEx>
          <w:tblW w:w="14325" w:type="dxa"/>
          <w:tblInd w:w="7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6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人力资源管理</w:t>
            </w:r>
          </w:p>
        </w:tc>
        <w:tc>
          <w:tcPr>
            <w:tcW w:w="60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思想政治 历史 技术（1门相同即可填报）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第十二条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实行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“院校负责，省教育考试院（省招办）监督”的录取体制。招生录取工作严格遵守教育部和省教育考试院（省招办）的有关政策和规定，坚持按考生德智体美全面考核、综合评价、择优录取。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第十三条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录取具体规则：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  1.根据省教育考试院（省招办）按本批次（段）比例提供的投档名单进行录取。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2.对于浙江省统一高考和单独考试的进档考生，根据考生考试成绩，按照专业志愿从高分到低分择优录取。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总分相同的考生，依据位次、志愿顺序录取。位次在前的考生先录取，位次相同的考生，则志愿顺序在前的考生先录取。全部相同的，则全部录取。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3.对于其他省份的进档考生，根据专业志愿先后顺序，从高分到低分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依次择优录取，第一专业志愿不能满足的考生，按其第二专业志愿录取，仍不能满足的按其第三专业志愿录取，以此类推。所有专业志愿均不能满足的，如果服从专业调剂，将由学校根据分数调剂到相应专业录取，高考成绩无法满足填报志愿，又不服从专业调剂的考生，将予以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总分相同的考生，按各省有关规定区分名次，按名次先后依次录取。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28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4.专业分数级差：无。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28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5.专业加试要求：无。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第十四条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外语语种要求：所有外语教学语种为英语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第十五条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男女比例要求：无。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第十六条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身体健康要求：严格执行教育部、卫生部联合颁布的《普通高等学校招生体检工作指导意见》等有关规定执行，无传染病，生活能自理。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28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第四章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第十七条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学费标准：严格执行浙江省教育厅、财政厅、物价局等有关收费规定，专业学费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13000-15800元/年，住宿费1500-2000元/年，最终以省教育考试院(省招办)公布的为准。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第十八条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奖助学金：为激励学生勤奋学习，帮助家庭经济困难的学生顺利完成学业，学院设有国家奖学金、省政府奖学金、国家励志奖学金、校级综合奖学金、单项奖学金、国家助学金等，实行国家助学贷款、勤工助学等资助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第十九条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颁发学历证书学校名称及证书种类：浙江长征职业技术学院印鉴的全国普通高等教育专科（高职）毕业证书，国家教育部电子注册。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3915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第五章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第二十条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联系方式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及网址：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1.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联系电话：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0571-85076777；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2.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真：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0571-85076628；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3.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E-mail地址：zs@zjczxy.cn；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4.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院校网址：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http://www.zjczxy.cn；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5.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监督电话：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0571-85076588。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6.校址：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浙江省杭州市西湖区小和山高教园区留和路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525号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邮编：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310023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第二十一条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学院以往有关招生工作的要求与本章程相冲突的，以本章程为准，若本章程与国家或省（直辖市、自治区）招生主管部门有关政策不一致之处，以国家和上级有关部门的政策规定为准。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第二十二条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本章程由浙江长征职业技术学院招生就业指导处负责解释。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28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                                               </w:t>
      </w: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浙江长征职业技术学院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5" w:lineRule="atLeast"/>
        <w:ind w:left="0" w:right="0" w:firstLine="58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pacing w:val="0"/>
          <w:sz w:val="29"/>
          <w:szCs w:val="29"/>
        </w:rPr>
        <w:t>          二零一九年四月二十八日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浙江纺织服装职业技术学院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29/20148.html" TargetMode="External" /><Relationship Id="rId11" Type="http://schemas.openxmlformats.org/officeDocument/2006/relationships/hyperlink" Target="http://www.gk114.com/a/gxzs/zszc/zhejiang/2021/0610/19817.html" TargetMode="External" /><Relationship Id="rId12" Type="http://schemas.openxmlformats.org/officeDocument/2006/relationships/hyperlink" Target="http://www.gk114.com/a/gxzs/zszc/zhejiang/2021/0610/19816.html" TargetMode="External" /><Relationship Id="rId13" Type="http://schemas.openxmlformats.org/officeDocument/2006/relationships/hyperlink" Target="http://www.gk114.com/a/gxzs/zszc/zhejiang/2021/0602/19682.html" TargetMode="External" /><Relationship Id="rId14" Type="http://schemas.openxmlformats.org/officeDocument/2006/relationships/hyperlink" Target="http://www.gk114.com/a/gxzs/zszc/zhejiang/2021/0308/18834.html" TargetMode="External" /><Relationship Id="rId15" Type="http://schemas.openxmlformats.org/officeDocument/2006/relationships/hyperlink" Target="http://www.gk114.com/a/gxzs/zszc/zhejiang/2021/0308/18833.html" TargetMode="External" /><Relationship Id="rId16" Type="http://schemas.openxmlformats.org/officeDocument/2006/relationships/hyperlink" Target="http://www.gk114.com/a/gxzs/zszc/zhejiang/2020/0627/16994.html" TargetMode="External" /><Relationship Id="rId17" Type="http://schemas.openxmlformats.org/officeDocument/2006/relationships/hyperlink" Target="http://www.gk114.com/a/gxzs/zszc/zhejiang/2019/0222/6604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410.html" TargetMode="External" /><Relationship Id="rId5" Type="http://schemas.openxmlformats.org/officeDocument/2006/relationships/hyperlink" Target="http://www.gk114.com/a/gxzs/zszc/zhejiang/2019/0630/10412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2/0417/22173.html" TargetMode="External" /><Relationship Id="rId8" Type="http://schemas.openxmlformats.org/officeDocument/2006/relationships/hyperlink" Target="http://www.gk114.com/a/gxzs/zszc/zhejiang/2022/0303/21803.html" TargetMode="External" /><Relationship Id="rId9" Type="http://schemas.openxmlformats.org/officeDocument/2006/relationships/hyperlink" Target="http://www.gk114.com/a/gxzs/zszc/zhejiang/2022/0220/21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