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海南健康管理职业技术学院</w:t>
      </w:r>
      <w:r>
        <w:rPr>
          <w:rFonts w:ascii="Times New Roman" w:eastAsia="Times New Roman" w:hAnsi="Times New Roman" w:cs="Times New Roman"/>
          <w:kern w:val="36"/>
          <w:sz w:val="48"/>
          <w:szCs w:val="48"/>
        </w:rPr>
        <w:t xml:space="preserve"> 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1"/>
          <w:szCs w:val="21"/>
        </w:rPr>
        <w:t>第一章</w:t>
      </w:r>
      <w:r>
        <w:rPr>
          <w:rFonts w:ascii="SimSun" w:eastAsia="SimSun" w:hAnsi="SimSun" w:cs="SimSun"/>
          <w:b/>
          <w:bCs/>
          <w:color w:val="666666"/>
          <w:sz w:val="32"/>
          <w:szCs w:val="32"/>
        </w:rPr>
        <w:t>  </w:t>
      </w:r>
      <w:r>
        <w:rPr>
          <w:rFonts w:ascii="SimSun" w:eastAsia="SimSun" w:hAnsi="SimSun" w:cs="SimSun"/>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第一条</w:t>
      </w:r>
      <w:r>
        <w:rPr>
          <w:rFonts w:ascii="SimSun" w:eastAsia="SimSun" w:hAnsi="SimSun" w:cs="SimSun"/>
          <w:color w:val="666666"/>
          <w:sz w:val="21"/>
          <w:szCs w:val="21"/>
        </w:rPr>
        <w:t>  </w:t>
      </w:r>
      <w:r>
        <w:rPr>
          <w:rFonts w:ascii="SimSun" w:eastAsia="SimSun" w:hAnsi="SimSun" w:cs="SimSun"/>
          <w:color w:val="000000"/>
          <w:sz w:val="21"/>
          <w:szCs w:val="21"/>
        </w:rPr>
        <w:t>为保证招生工作在公平、公正、公开的原则下顺利进行，提高生源质量，根据《中华人民共和国教育法》、《中华人民共和国高等教育法》、《普通高等学校学生管理规定》和《教育部</w:t>
      </w:r>
      <w:r>
        <w:rPr>
          <w:rFonts w:ascii="SimSun" w:eastAsia="SimSun" w:hAnsi="SimSun" w:cs="SimSun"/>
          <w:color w:val="000000"/>
          <w:sz w:val="21"/>
          <w:szCs w:val="21"/>
        </w:rPr>
        <w:t>2018年普通高等学校招生工作规定》</w:t>
      </w:r>
      <w:r>
        <w:rPr>
          <w:rFonts w:ascii="SimSun" w:eastAsia="SimSun" w:hAnsi="SimSun" w:cs="SimSun"/>
          <w:color w:val="666666"/>
          <w:sz w:val="21"/>
          <w:szCs w:val="21"/>
        </w:rPr>
        <w:t>，结合我校实际情况，制定本章程。</w:t>
      </w:r>
    </w:p>
    <w:p>
      <w:pPr>
        <w:pBdr>
          <w:top w:val="none" w:sz="0" w:space="0" w:color="auto"/>
          <w:left w:val="none" w:sz="0" w:space="0" w:color="auto"/>
          <w:bottom w:val="none" w:sz="0" w:space="0" w:color="auto"/>
          <w:right w:val="none" w:sz="0" w:space="0" w:color="auto"/>
        </w:pBdr>
        <w:spacing w:before="0" w:after="0" w:line="240" w:lineRule="atLeast"/>
        <w:ind w:left="0" w:right="0" w:firstLine="640"/>
        <w:jc w:val="center"/>
        <w:rPr>
          <w:rFonts w:ascii="Microsoft YaHei" w:eastAsia="Microsoft YaHei" w:hAnsi="Microsoft YaHei" w:cs="Microsoft YaHei"/>
          <w:color w:val="666666"/>
          <w:sz w:val="21"/>
          <w:szCs w:val="21"/>
        </w:rPr>
      </w:pPr>
      <w:r>
        <w:rPr>
          <w:rFonts w:ascii="SimSun" w:eastAsia="SimSun" w:hAnsi="SimSun" w:cs="SimSun"/>
          <w:color w:val="666666"/>
          <w:sz w:val="21"/>
          <w:szCs w:val="21"/>
        </w:rPr>
        <w:t> </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第二章</w:t>
      </w:r>
      <w:r>
        <w:rPr>
          <w:rFonts w:ascii="SimSun" w:eastAsia="SimSun" w:hAnsi="SimSun" w:cs="SimSun"/>
          <w:b/>
          <w:bCs/>
          <w:color w:val="666666"/>
          <w:sz w:val="32"/>
          <w:szCs w:val="32"/>
        </w:rPr>
        <w:t>  </w:t>
      </w:r>
      <w:r>
        <w:rPr>
          <w:rFonts w:ascii="SimSun" w:eastAsia="SimSun" w:hAnsi="SimSun" w:cs="SimSun"/>
          <w:b/>
          <w:bCs/>
          <w:color w:val="666666"/>
        </w:rPr>
        <w:t>学校简介</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000000"/>
        </w:rPr>
        <w:t>第二条</w:t>
      </w:r>
      <w:r>
        <w:rPr>
          <w:rFonts w:ascii="SimSun" w:eastAsia="SimSun" w:hAnsi="SimSun" w:cs="SimSun"/>
          <w:color w:val="000000"/>
          <w:sz w:val="32"/>
          <w:szCs w:val="32"/>
        </w:rPr>
        <w:t> </w:t>
      </w:r>
      <w:r>
        <w:rPr>
          <w:rFonts w:ascii="SimSun" w:eastAsia="SimSun" w:hAnsi="SimSun" w:cs="SimSun"/>
          <w:color w:val="000000"/>
        </w:rPr>
        <w:t>学校校名为海南健康管理职业技术学院</w:t>
      </w:r>
      <w:r>
        <w:rPr>
          <w:rFonts w:ascii="SimSun" w:eastAsia="SimSun" w:hAnsi="SimSun" w:cs="SimSun"/>
          <w:color w:val="666666"/>
        </w:rPr>
        <w:t>（</w:t>
      </w:r>
      <w:r>
        <w:rPr>
          <w:rFonts w:ascii="SimSun" w:eastAsia="SimSun" w:hAnsi="SimSun" w:cs="SimSun"/>
          <w:color w:val="666666"/>
          <w:sz w:val="32"/>
          <w:szCs w:val="32"/>
        </w:rPr>
        <w:t>Hainan Health Manage</w:t>
      </w:r>
      <w:r>
        <w:rPr>
          <w:rFonts w:ascii="SimSun" w:eastAsia="SimSun" w:hAnsi="SimSun" w:cs="SimSun"/>
          <w:color w:val="000000"/>
        </w:rPr>
        <w:t>ment College），国标代码：14639。办学性质：民办普通高等学校，办学层次：高职专科，招生类型：普通全日制。主管部门：海南省教育厅。办学地址：桂林洋校区（位于海南省海口市桂林洋高校区，正在建设中）、澄迈校区（位于海南省澄迈县文化北路1号）。</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000000"/>
        </w:rPr>
        <w:t>第三条  学校聘请入选“影响新中国经济建设的100位经济学家”迟福林教授为理事长。中国工程院院士韩德民教授为院长，微医集团董事长兼CEO廖杰远先生为执行院长。 </w:t>
      </w:r>
    </w:p>
    <w:p>
      <w:pPr>
        <w:pBdr>
          <w:top w:val="none" w:sz="0" w:space="0" w:color="auto"/>
          <w:left w:val="none" w:sz="0" w:space="0" w:color="auto"/>
          <w:bottom w:val="none" w:sz="0" w:space="0" w:color="auto"/>
          <w:right w:val="none" w:sz="0" w:space="0" w:color="auto"/>
        </w:pBdr>
        <w:spacing w:before="0" w:after="0" w:line="240" w:lineRule="atLeast"/>
        <w:ind w:left="420" w:right="0" w:firstLine="640"/>
        <w:rPr>
          <w:rFonts w:ascii="Microsoft YaHei" w:eastAsia="Microsoft YaHei" w:hAnsi="Microsoft YaHei" w:cs="Microsoft YaHei"/>
          <w:color w:val="666666"/>
          <w:sz w:val="21"/>
          <w:szCs w:val="21"/>
        </w:rPr>
      </w:pPr>
      <w:r>
        <w:rPr>
          <w:rFonts w:ascii="SimSun" w:eastAsia="SimSun" w:hAnsi="SimSun" w:cs="SimSun"/>
          <w:color w:val="000000"/>
        </w:rPr>
        <w:t> </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第三章</w:t>
      </w:r>
      <w:r>
        <w:rPr>
          <w:rFonts w:ascii="SimSun" w:eastAsia="SimSun" w:hAnsi="SimSun" w:cs="SimSun"/>
          <w:b/>
          <w:bCs/>
          <w:color w:val="666666"/>
          <w:sz w:val="32"/>
          <w:szCs w:val="32"/>
        </w:rPr>
        <w:t>  </w:t>
      </w:r>
      <w:r>
        <w:rPr>
          <w:rFonts w:ascii="SimSun" w:eastAsia="SimSun" w:hAnsi="SimSun" w:cs="SimSun"/>
          <w:b/>
          <w:bCs/>
          <w:color w:val="666666"/>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560"/>
        <w:rPr>
          <w:rFonts w:ascii="Microsoft YaHei" w:eastAsia="Microsoft YaHei" w:hAnsi="Microsoft YaHei" w:cs="Microsoft YaHei"/>
          <w:color w:val="666666"/>
          <w:sz w:val="21"/>
          <w:szCs w:val="21"/>
        </w:rPr>
      </w:pPr>
      <w:r>
        <w:rPr>
          <w:rFonts w:ascii="SimSun" w:eastAsia="SimSun" w:hAnsi="SimSun" w:cs="SimSun"/>
          <w:color w:val="666666"/>
        </w:rPr>
        <w:t>第四条</w:t>
      </w:r>
      <w:r>
        <w:rPr>
          <w:rFonts w:ascii="SimSun" w:eastAsia="SimSun" w:hAnsi="SimSun" w:cs="SimSun"/>
          <w:color w:val="666666"/>
          <w:sz w:val="32"/>
          <w:szCs w:val="32"/>
        </w:rPr>
        <w:t>  </w:t>
      </w:r>
      <w:r>
        <w:rPr>
          <w:rFonts w:ascii="SimSun" w:eastAsia="SimSun" w:hAnsi="SimSun" w:cs="SimSun"/>
          <w:color w:val="666666"/>
        </w:rPr>
        <w:t>制订</w:t>
      </w:r>
      <w:r>
        <w:rPr>
          <w:rFonts w:ascii="SimSun" w:eastAsia="SimSun" w:hAnsi="SimSun" w:cs="SimSun"/>
          <w:color w:val="666666"/>
          <w:sz w:val="32"/>
          <w:szCs w:val="32"/>
        </w:rPr>
        <w:t>2018年招生计划，分省分专业招生计划详见各省招办公布或到学校招生信息网</w:t>
      </w:r>
      <w:r>
        <w:rPr>
          <w:rFonts w:ascii="SimSun" w:eastAsia="SimSun" w:hAnsi="SimSun" w:cs="SimSun"/>
          <w:color w:val="666666"/>
          <w:sz w:val="30"/>
          <w:szCs w:val="30"/>
        </w:rPr>
        <w:t>hainhmc.edu.cn</w:t>
      </w:r>
      <w:r>
        <w:rPr>
          <w:rFonts w:ascii="SimSun" w:eastAsia="SimSun" w:hAnsi="SimSun" w:cs="SimSun"/>
          <w:color w:val="666666"/>
        </w:rPr>
        <w:t>查询。</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第五条</w:t>
      </w:r>
      <w:r>
        <w:rPr>
          <w:rFonts w:ascii="SimSun" w:eastAsia="SimSun" w:hAnsi="SimSun" w:cs="SimSun"/>
          <w:color w:val="666666"/>
          <w:sz w:val="21"/>
          <w:szCs w:val="21"/>
        </w:rPr>
        <w:t> </w:t>
      </w:r>
      <w:r>
        <w:rPr>
          <w:rFonts w:ascii="SimSun" w:eastAsia="SimSun" w:hAnsi="SimSun" w:cs="SimSun"/>
          <w:color w:val="666666"/>
        </w:rPr>
        <w:t>如果个别专业在征集志愿后仍生源不足，则根据生源省份有关规定，将未能完成的招生计划调整到其他生源充足的省份录取。</w:t>
      </w:r>
    </w:p>
    <w:p>
      <w:pPr>
        <w:pBdr>
          <w:top w:val="none" w:sz="0" w:space="0" w:color="auto"/>
          <w:left w:val="none" w:sz="0" w:space="0" w:color="auto"/>
          <w:bottom w:val="none" w:sz="0" w:space="0" w:color="auto"/>
          <w:right w:val="none" w:sz="0" w:space="0" w:color="auto"/>
        </w:pBdr>
        <w:spacing w:before="0" w:after="0" w:line="24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1"/>
          <w:szCs w:val="21"/>
        </w:rPr>
        <w:t> </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第四章</w:t>
      </w:r>
      <w:r>
        <w:rPr>
          <w:rFonts w:ascii="SimSun" w:eastAsia="SimSun" w:hAnsi="SimSun" w:cs="SimSun"/>
          <w:b/>
          <w:bCs/>
          <w:color w:val="666666"/>
        </w:rPr>
        <w:t> </w:t>
      </w:r>
      <w:r>
        <w:rPr>
          <w:rFonts w:ascii="SimSun" w:eastAsia="SimSun" w:hAnsi="SimSun" w:cs="SimSun"/>
          <w:b/>
          <w:bCs/>
          <w:color w:val="666666"/>
          <w:sz w:val="32"/>
          <w:szCs w:val="32"/>
        </w:rPr>
        <w:t> </w:t>
      </w:r>
      <w:r>
        <w:rPr>
          <w:rFonts w:ascii="SimSun" w:eastAsia="SimSun" w:hAnsi="SimSun" w:cs="SimSun"/>
          <w:b/>
          <w:bCs/>
          <w:color w:val="666666"/>
        </w:rPr>
        <w:t>招生机构与监督机制</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第六条</w:t>
      </w:r>
      <w:r>
        <w:rPr>
          <w:rFonts w:ascii="SimSun" w:eastAsia="SimSun" w:hAnsi="SimSun" w:cs="SimSun"/>
          <w:color w:val="666666"/>
          <w:sz w:val="21"/>
          <w:szCs w:val="21"/>
        </w:rPr>
        <w:t> </w:t>
      </w:r>
      <w:r>
        <w:rPr>
          <w:rFonts w:ascii="SimSun" w:eastAsia="SimSun" w:hAnsi="SimSun" w:cs="SimSun"/>
          <w:color w:val="666666"/>
        </w:rPr>
        <w:t>学校成立由执行院长、分管副院长、有关部门负责人、教师代表和法律顾问组成的海南健康管理职业技术学院招生工作小组，负责领导和管理专科招生工作。具体招生工作由海南健康管理职业技术学院学生工作（招生与就业）处负责。</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第七条</w:t>
      </w:r>
      <w:r>
        <w:rPr>
          <w:rFonts w:ascii="SimSun" w:eastAsia="SimSun" w:hAnsi="SimSun" w:cs="SimSun"/>
          <w:color w:val="666666"/>
          <w:sz w:val="21"/>
          <w:szCs w:val="21"/>
        </w:rPr>
        <w:t> </w:t>
      </w:r>
      <w:r>
        <w:rPr>
          <w:rFonts w:ascii="SimSun" w:eastAsia="SimSun" w:hAnsi="SimSun" w:cs="SimSun"/>
          <w:color w:val="666666"/>
        </w:rPr>
        <w:t>学校成立招生工作监察组，负责全程监督招生录取工作，同时设立招生监督电话（</w:t>
      </w:r>
      <w:r>
        <w:rPr>
          <w:rFonts w:ascii="SimSun" w:eastAsia="SimSun" w:hAnsi="SimSun" w:cs="SimSun"/>
          <w:color w:val="666666"/>
          <w:sz w:val="21"/>
          <w:szCs w:val="21"/>
        </w:rPr>
        <w:t>0898-32115066）和举报邮箱（wjingw668@163.com），接受社会监督。</w:t>
      </w:r>
    </w:p>
    <w:p>
      <w:pPr>
        <w:pBdr>
          <w:top w:val="none" w:sz="0" w:space="0" w:color="auto"/>
          <w:left w:val="none" w:sz="0" w:space="0" w:color="auto"/>
          <w:bottom w:val="none" w:sz="0" w:space="0" w:color="auto"/>
          <w:right w:val="none" w:sz="0" w:space="0" w:color="auto"/>
        </w:pBdr>
        <w:spacing w:before="0" w:after="0" w:line="24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 </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第五章</w:t>
      </w:r>
      <w:r>
        <w:rPr>
          <w:rFonts w:ascii="SimSun" w:eastAsia="SimSun" w:hAnsi="SimSun" w:cs="SimSun"/>
          <w:b/>
          <w:bCs/>
          <w:color w:val="666666"/>
          <w:sz w:val="32"/>
          <w:szCs w:val="32"/>
        </w:rPr>
        <w:t>  </w:t>
      </w:r>
      <w:r>
        <w:rPr>
          <w:rFonts w:ascii="SimSun" w:eastAsia="SimSun" w:hAnsi="SimSun" w:cs="SimSun"/>
          <w:b/>
          <w:bCs/>
          <w:color w:val="666666"/>
        </w:rPr>
        <w:t>录取原则</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第八条</w:t>
      </w:r>
      <w:r>
        <w:rPr>
          <w:rFonts w:ascii="SimSun" w:eastAsia="SimSun" w:hAnsi="SimSun" w:cs="SimSun"/>
          <w:color w:val="666666"/>
          <w:sz w:val="21"/>
          <w:szCs w:val="21"/>
        </w:rPr>
        <w:t> </w:t>
      </w:r>
      <w:r>
        <w:rPr>
          <w:rFonts w:ascii="SimSun" w:eastAsia="SimSun" w:hAnsi="SimSun" w:cs="SimSun"/>
          <w:color w:val="666666"/>
        </w:rPr>
        <w:t>学校认可各省加分政策，但最高加分分值不超过</w:t>
      </w:r>
      <w:r>
        <w:rPr>
          <w:rFonts w:ascii="SimSun" w:eastAsia="SimSun" w:hAnsi="SimSun" w:cs="SimSun"/>
          <w:color w:val="666666"/>
          <w:sz w:val="21"/>
          <w:szCs w:val="21"/>
        </w:rPr>
        <w:t>20分。录取时考生成绩以投档分为准。</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第九条</w:t>
      </w:r>
      <w:r>
        <w:rPr>
          <w:rFonts w:ascii="SimSun" w:eastAsia="SimSun" w:hAnsi="SimSun" w:cs="SimSun"/>
          <w:color w:val="666666"/>
          <w:sz w:val="32"/>
          <w:szCs w:val="32"/>
        </w:rPr>
        <w:t> </w:t>
      </w:r>
      <w:r>
        <w:rPr>
          <w:rFonts w:ascii="SimSun" w:eastAsia="SimSun" w:hAnsi="SimSun" w:cs="SimSun"/>
          <w:color w:val="666666"/>
        </w:rPr>
        <w:t>对考生身体健康的要求，按照教育部、卫生部、中国残疾人联合会印发的</w:t>
      </w:r>
      <w:hyperlink r:id="rId4" w:history="1">
        <w:r>
          <w:rPr>
            <w:rFonts w:ascii="SimSun" w:eastAsia="SimSun" w:hAnsi="SimSun" w:cs="SimSun"/>
            <w:color w:val="666666"/>
            <w:u w:val="single" w:color="666666"/>
          </w:rPr>
          <w:t>《普通高等学校招生体检工作指导意见》</w:t>
        </w:r>
      </w:hyperlink>
      <w:r>
        <w:rPr>
          <w:rFonts w:ascii="SimSun" w:eastAsia="SimSun" w:hAnsi="SimSun" w:cs="SimSun"/>
          <w:color w:val="666666"/>
        </w:rPr>
        <w:t>以及教育部、卫生部</w:t>
      </w:r>
      <w:hyperlink r:id="rId5" w:history="1">
        <w:r>
          <w:rPr>
            <w:rFonts w:ascii="SimSun" w:eastAsia="SimSun" w:hAnsi="SimSun" w:cs="SimSun"/>
            <w:color w:val="666666"/>
            <w:u w:val="single" w:color="666666"/>
          </w:rPr>
          <w:t>《关于普通高等学校招生学生入学身体检查取消乙肝项目检测有关问题的通知》</w:t>
        </w:r>
      </w:hyperlink>
      <w:r>
        <w:rPr>
          <w:rFonts w:ascii="SimSun" w:eastAsia="SimSun" w:hAnsi="SimSun" w:cs="SimSun"/>
          <w:color w:val="666666"/>
        </w:rPr>
        <w:t>的要求执行。</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第十条</w:t>
      </w:r>
      <w:r>
        <w:rPr>
          <w:rFonts w:ascii="SimSun" w:eastAsia="SimSun" w:hAnsi="SimSun" w:cs="SimSun"/>
          <w:color w:val="666666"/>
          <w:sz w:val="21"/>
          <w:szCs w:val="21"/>
        </w:rPr>
        <w:t> </w:t>
      </w:r>
      <w:r>
        <w:rPr>
          <w:rFonts w:ascii="SimSun" w:eastAsia="SimSun" w:hAnsi="SimSun" w:cs="SimSun"/>
          <w:color w:val="666666"/>
        </w:rPr>
        <w:t>实行</w:t>
      </w:r>
      <w:r>
        <w:rPr>
          <w:rFonts w:ascii="SimSun" w:eastAsia="SimSun" w:hAnsi="SimSun" w:cs="SimSun"/>
          <w:color w:val="666666"/>
          <w:sz w:val="21"/>
          <w:szCs w:val="21"/>
        </w:rPr>
        <w:t>“平行志愿”录取的省份，按“分数优先，遵循志愿”的原则录取；没有实行“平行志愿”录取的省份，根据志愿，从高分到低分择优录取。</w:t>
      </w:r>
      <w:r>
        <w:rPr>
          <w:rFonts w:ascii="SimSun" w:eastAsia="SimSun" w:hAnsi="SimSun" w:cs="SimSun"/>
          <w:color w:val="666666"/>
          <w:sz w:val="21"/>
          <w:szCs w:val="21"/>
        </w:rPr>
        <w:br/>
      </w:r>
      <w:r>
        <w:rPr>
          <w:rFonts w:ascii="SimSun" w:eastAsia="SimSun" w:hAnsi="SimSun" w:cs="SimSun"/>
          <w:color w:val="666666"/>
          <w:sz w:val="21"/>
          <w:szCs w:val="21"/>
        </w:rPr>
        <w:t>    </w:t>
      </w:r>
      <w:r>
        <w:rPr>
          <w:rFonts w:ascii="SimSun" w:eastAsia="SimSun" w:hAnsi="SimSun" w:cs="SimSun"/>
          <w:color w:val="666666"/>
        </w:rPr>
        <w:t>第十一条</w:t>
      </w:r>
      <w:r>
        <w:rPr>
          <w:rFonts w:ascii="SimSun" w:eastAsia="SimSun" w:hAnsi="SimSun" w:cs="SimSun"/>
          <w:color w:val="666666"/>
          <w:sz w:val="21"/>
          <w:szCs w:val="21"/>
        </w:rPr>
        <w:t> </w:t>
      </w:r>
      <w:r>
        <w:rPr>
          <w:rFonts w:ascii="SimSun" w:eastAsia="SimSun" w:hAnsi="SimSun" w:cs="SimSun"/>
          <w:color w:val="666666"/>
        </w:rPr>
        <w:t>我校优先录取第一志愿考生，在第一志愿生源不足的情况下，可接收其他志愿考生，无分数级差和专业级差。</w:t>
      </w:r>
      <w:r>
        <w:rPr>
          <w:rFonts w:ascii="SimSun" w:eastAsia="SimSun" w:hAnsi="SimSun" w:cs="SimSun"/>
          <w:color w:val="666666"/>
        </w:rPr>
        <w:br/>
      </w:r>
      <w:r>
        <w:rPr>
          <w:rFonts w:ascii="SimSun" w:eastAsia="SimSun" w:hAnsi="SimSun" w:cs="SimSun"/>
          <w:color w:val="666666"/>
          <w:sz w:val="21"/>
          <w:szCs w:val="21"/>
        </w:rPr>
        <w:t>    </w:t>
      </w:r>
      <w:r>
        <w:rPr>
          <w:rFonts w:ascii="SimSun" w:eastAsia="SimSun" w:hAnsi="SimSun" w:cs="SimSun"/>
          <w:color w:val="666666"/>
        </w:rPr>
        <w:t>第十二条</w:t>
      </w:r>
      <w:r>
        <w:rPr>
          <w:rFonts w:ascii="SimSun" w:eastAsia="SimSun" w:hAnsi="SimSun" w:cs="SimSun"/>
          <w:color w:val="666666"/>
          <w:sz w:val="21"/>
          <w:szCs w:val="21"/>
        </w:rPr>
        <w:t> </w:t>
      </w:r>
      <w:r>
        <w:rPr>
          <w:rFonts w:ascii="SimSun" w:eastAsia="SimSun" w:hAnsi="SimSun" w:cs="SimSun"/>
          <w:color w:val="666666"/>
        </w:rPr>
        <w:t>各招生专业均不限制考生应试外语语种，但新生入学后，学校只开设英语为公共外语课程。</w:t>
      </w:r>
    </w:p>
    <w:p>
      <w:pPr>
        <w:pBdr>
          <w:top w:val="none" w:sz="0" w:space="0" w:color="auto"/>
          <w:left w:val="none" w:sz="0" w:space="0" w:color="auto"/>
          <w:bottom w:val="none" w:sz="0" w:space="0" w:color="auto"/>
          <w:right w:val="none" w:sz="0" w:space="0" w:color="auto"/>
        </w:pBdr>
        <w:spacing w:before="0" w:after="150" w:line="36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第十三条</w:t>
      </w:r>
      <w:r>
        <w:rPr>
          <w:rFonts w:ascii="SimSun" w:eastAsia="SimSun" w:hAnsi="SimSun" w:cs="SimSun"/>
          <w:color w:val="666666"/>
          <w:sz w:val="21"/>
          <w:szCs w:val="21"/>
        </w:rPr>
        <w:t> </w:t>
      </w:r>
      <w:r>
        <w:rPr>
          <w:rFonts w:ascii="SimSun" w:eastAsia="SimSun" w:hAnsi="SimSun" w:cs="SimSun"/>
          <w:color w:val="666666"/>
        </w:rPr>
        <w:t>学校在录取过程中，生源充足的专业可适当增加招生计划，报考人数少的专业可适当减少招生计划。</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第十四条</w:t>
      </w:r>
      <w:r>
        <w:rPr>
          <w:rFonts w:ascii="SimSun" w:eastAsia="SimSun" w:hAnsi="SimSun" w:cs="SimSun"/>
          <w:color w:val="666666"/>
          <w:sz w:val="21"/>
          <w:szCs w:val="21"/>
        </w:rPr>
        <w:t> </w:t>
      </w:r>
      <w:r>
        <w:rPr>
          <w:rFonts w:ascii="SimSun" w:eastAsia="SimSun" w:hAnsi="SimSun" w:cs="SimSun"/>
          <w:color w:val="666666"/>
        </w:rPr>
        <w:t>录取结果公布渠道：各省（市区）高校招生管理部门向社会发布高考录取信息，或登录海南健康管理职业技术学院招生信息网查询（</w:t>
      </w:r>
      <w:r>
        <w:rPr>
          <w:rFonts w:ascii="SimSun" w:eastAsia="SimSun" w:hAnsi="SimSun" w:cs="SimSun"/>
          <w:color w:val="666666"/>
          <w:sz w:val="21"/>
          <w:szCs w:val="21"/>
        </w:rPr>
        <w:t>hainhmc.edu.cn）。</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 </w:t>
      </w:r>
    </w:p>
    <w:p>
      <w:pPr>
        <w:pBdr>
          <w:top w:val="none" w:sz="0" w:space="0" w:color="auto"/>
          <w:left w:val="none" w:sz="0" w:space="0" w:color="auto"/>
          <w:bottom w:val="none" w:sz="0" w:space="0" w:color="auto"/>
          <w:right w:val="none" w:sz="0" w:space="0" w:color="auto"/>
        </w:pBdr>
        <w:spacing w:before="100" w:after="10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第六章</w:t>
      </w:r>
      <w:r>
        <w:rPr>
          <w:rFonts w:ascii="SimSun" w:eastAsia="SimSun" w:hAnsi="SimSun" w:cs="SimSun"/>
          <w:b/>
          <w:bCs/>
          <w:color w:val="666666"/>
          <w:sz w:val="32"/>
          <w:szCs w:val="32"/>
        </w:rPr>
        <w:t> </w:t>
      </w:r>
      <w:r>
        <w:rPr>
          <w:rFonts w:ascii="SimSun" w:eastAsia="SimSun" w:hAnsi="SimSun" w:cs="SimSun"/>
          <w:b/>
          <w:bCs/>
          <w:color w:val="666666"/>
        </w:rPr>
        <w:t>其他</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第十五条</w:t>
      </w:r>
      <w:r>
        <w:rPr>
          <w:rFonts w:ascii="SimSun" w:eastAsia="SimSun" w:hAnsi="SimSun" w:cs="SimSun"/>
          <w:color w:val="666666"/>
          <w:sz w:val="21"/>
          <w:szCs w:val="21"/>
        </w:rPr>
        <w:t> </w:t>
      </w:r>
      <w:r>
        <w:rPr>
          <w:rFonts w:ascii="SimSun" w:eastAsia="SimSun" w:hAnsi="SimSun" w:cs="SimSun"/>
          <w:color w:val="666666"/>
        </w:rPr>
        <w:t>被录取新生必须持录取通知书、准考证和身份证按时到校办理入学手续，因故不能按时入学者，应在学校报到截止之日前以书面报告及有关证明向学校招生与就业处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第十六条</w:t>
      </w:r>
      <w:r>
        <w:rPr>
          <w:rFonts w:ascii="SimSun" w:eastAsia="SimSun" w:hAnsi="SimSun" w:cs="SimSun"/>
          <w:color w:val="666666"/>
          <w:sz w:val="21"/>
          <w:szCs w:val="21"/>
        </w:rPr>
        <w:t> </w:t>
      </w:r>
      <w:r>
        <w:rPr>
          <w:rFonts w:ascii="SimSun" w:eastAsia="SimSun" w:hAnsi="SimSun" w:cs="SimSun"/>
          <w:color w:val="666666"/>
        </w:rPr>
        <w:t>新生入学后进行入学资格审查，凡入学资格审查不合格者，由学校区别情况，予以处理，直至取消其入学资格。凡属弄虚作假、徇私舞弊取得学籍者，将取消其学籍。</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第十七条</w:t>
      </w:r>
      <w:r>
        <w:rPr>
          <w:rFonts w:ascii="SimSun" w:eastAsia="SimSun" w:hAnsi="SimSun" w:cs="SimSun"/>
          <w:color w:val="FF0000"/>
          <w:sz w:val="32"/>
          <w:szCs w:val="32"/>
        </w:rPr>
        <w:t> </w:t>
      </w:r>
      <w:r>
        <w:rPr>
          <w:rFonts w:ascii="SimSun" w:eastAsia="SimSun" w:hAnsi="SimSun" w:cs="SimSun"/>
          <w:color w:val="666666"/>
        </w:rPr>
        <w:t>在一年级的学习中，成绩特别优秀，符合优秀生转专业的基本条件，可经本人申请、考核合格，学校审核同意后，办理转专业手续。</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第十八条</w:t>
      </w:r>
      <w:r>
        <w:rPr>
          <w:rFonts w:ascii="SimSun" w:eastAsia="SimSun" w:hAnsi="SimSun" w:cs="SimSun"/>
          <w:color w:val="666666"/>
          <w:sz w:val="21"/>
          <w:szCs w:val="21"/>
        </w:rPr>
        <w:t> </w:t>
      </w:r>
      <w:r>
        <w:rPr>
          <w:rFonts w:ascii="SimSun" w:eastAsia="SimSun" w:hAnsi="SimSun" w:cs="SimSun"/>
          <w:color w:val="666666"/>
        </w:rPr>
        <w:t>学生完成学校培养方案规定的内容，符合毕业条件者，颁发海南健康管理职业技术学院毕业证书。</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第十九条</w:t>
      </w:r>
      <w:r>
        <w:rPr>
          <w:rFonts w:ascii="SimSun" w:eastAsia="SimSun" w:hAnsi="SimSun" w:cs="SimSun"/>
          <w:color w:val="666666"/>
          <w:sz w:val="21"/>
          <w:szCs w:val="21"/>
        </w:rPr>
        <w:t> </w:t>
      </w:r>
      <w:r>
        <w:rPr>
          <w:rFonts w:ascii="SimSun" w:eastAsia="SimSun" w:hAnsi="SimSun" w:cs="SimSun"/>
          <w:color w:val="666666"/>
        </w:rPr>
        <w:t>根据学生在校学习时间，按月计退剩余的学费和住宿费。教材费按实际支出情况结算。</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第二十条</w:t>
      </w:r>
      <w:r>
        <w:rPr>
          <w:rFonts w:ascii="SimSun" w:eastAsia="SimSun" w:hAnsi="SimSun" w:cs="SimSun"/>
          <w:color w:val="666666"/>
          <w:sz w:val="21"/>
          <w:szCs w:val="21"/>
        </w:rPr>
        <w:t> </w:t>
      </w:r>
      <w:r>
        <w:rPr>
          <w:rFonts w:ascii="SimSun" w:eastAsia="SimSun" w:hAnsi="SimSun" w:cs="SimSun"/>
          <w:color w:val="666666"/>
        </w:rPr>
        <w:t>学校设有各类奖学金和助学金，为家庭经济困难新生开设新生入学</w:t>
      </w:r>
      <w:r>
        <w:rPr>
          <w:rFonts w:ascii="SimSun" w:eastAsia="SimSun" w:hAnsi="SimSun" w:cs="SimSun"/>
          <w:color w:val="666666"/>
          <w:sz w:val="21"/>
          <w:szCs w:val="21"/>
        </w:rPr>
        <w:t>“绿色通道”。根据学生家庭经济困难情况提供资助，设立勤工助学岗位，全力解决学生就读期间经济困难问题。具体为：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1、国家在学校设立的奖助学金有：</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21"/>
          <w:szCs w:val="21"/>
        </w:rPr>
        <w:t>1）国家奖学金，评选对象为德智体全面发展、出类拔萃的优秀学生，奖金8000元/人。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21"/>
          <w:szCs w:val="21"/>
        </w:rPr>
        <w:t>2）国家励志奖学金，面向品学兼优的家庭经济困难学生，奖金5000元/人。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21"/>
          <w:szCs w:val="21"/>
        </w:rPr>
        <w:t>3）国家助学金，面向家庭经济困难学生。资助标准为一档每年3500元/人、二档每年2500元/人。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2、海南省政府在学校设立的奖助学金有：海南省优秀贫困生奖学金，面向品学兼优的家庭经济困难学生，奖金4000元/人。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3、学校设立的奖助学金主要有：</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32"/>
          <w:szCs w:val="32"/>
        </w:rPr>
        <w:t>1）综合奖学金，面向品学兼优的学生。分为三个等级，一等综合奖学金5000元/人、二等综合奖学金3600元/人、三等综合奖学金2800元/人。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21"/>
          <w:szCs w:val="21"/>
        </w:rPr>
        <w:t>2）企业奖学金，面向品学兼优的学生。微医集团奖学金：5000元/人；泰康溢彩奖学金：5000元/人。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w:t>
      </w:r>
      <w:r>
        <w:rPr>
          <w:rFonts w:ascii="SimSun" w:eastAsia="SimSun" w:hAnsi="SimSun" w:cs="SimSun"/>
          <w:color w:val="666666"/>
          <w:sz w:val="21"/>
          <w:szCs w:val="21"/>
        </w:rPr>
        <w:t>3）企业助学金用于资助在校家庭经济困难的学生。微医集团助学金：5000元/人；泰康溢彩助学金：5000元/人。</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第二十一条</w:t>
      </w:r>
      <w:r>
        <w:rPr>
          <w:rFonts w:ascii="SimSun" w:eastAsia="SimSun" w:hAnsi="SimSun" w:cs="SimSun"/>
          <w:color w:val="666666"/>
          <w:sz w:val="21"/>
          <w:szCs w:val="21"/>
        </w:rPr>
        <w:t> </w:t>
      </w:r>
      <w:r>
        <w:rPr>
          <w:rFonts w:ascii="SimSun" w:eastAsia="SimSun" w:hAnsi="SimSun" w:cs="SimSun"/>
          <w:color w:val="666666"/>
        </w:rPr>
        <w:t>学校按照政府核定的收费标准对普通专科学生收费，具体如下：</w:t>
      </w:r>
    </w:p>
    <w:tbl>
      <w:tblPr>
        <w:tblW w:w="14325" w:type="dxa"/>
        <w:tblInd w:w="168"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627"/>
        <w:gridCol w:w="4173"/>
        <w:gridCol w:w="1197"/>
        <w:gridCol w:w="1302"/>
        <w:gridCol w:w="4906"/>
      </w:tblGrid>
      <w:tr>
        <w:tblPrEx>
          <w:tblW w:w="14325" w:type="dxa"/>
          <w:tblInd w:w="168"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2040"/>
        </w:trPr>
        <w:tc>
          <w:tcPr>
            <w:tcW w:w="2371" w:type="dxa"/>
            <w:tcBorders>
              <w:bottom w:val="single" w:sz="8" w:space="0" w:color="000000"/>
              <w:right w:val="single" w:sz="8" w:space="0" w:color="000000"/>
            </w:tcBorders>
            <w:noWrap w:val="0"/>
            <w:tcMar>
              <w:top w:w="30"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专业名称</w:t>
            </w:r>
          </w:p>
        </w:tc>
        <w:tc>
          <w:tcPr>
            <w:tcW w:w="1401" w:type="dxa"/>
            <w:tcBorders>
              <w:bottom w:val="single" w:sz="8" w:space="0" w:color="000000"/>
              <w:right w:val="single" w:sz="8" w:space="0" w:color="000000"/>
            </w:tcBorders>
            <w:noWrap w:val="0"/>
            <w:tcMar>
              <w:top w:w="3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代码</w:t>
            </w:r>
          </w:p>
        </w:tc>
        <w:tc>
          <w:tcPr>
            <w:tcW w:w="966" w:type="dxa"/>
            <w:tcBorders>
              <w:bottom w:val="single" w:sz="8" w:space="0" w:color="000000"/>
              <w:right w:val="single" w:sz="8" w:space="0" w:color="000000"/>
            </w:tcBorders>
            <w:noWrap w:val="0"/>
            <w:tcMar>
              <w:top w:w="3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学制</w:t>
            </w:r>
          </w:p>
        </w:tc>
        <w:tc>
          <w:tcPr>
            <w:tcW w:w="1071" w:type="dxa"/>
            <w:tcBorders>
              <w:bottom w:val="single" w:sz="8" w:space="0" w:color="000000"/>
              <w:right w:val="single" w:sz="8" w:space="0" w:color="000000"/>
            </w:tcBorders>
            <w:noWrap w:val="0"/>
            <w:tcMar>
              <w:top w:w="3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招生</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人数</w:t>
            </w:r>
          </w:p>
        </w:tc>
        <w:tc>
          <w:tcPr>
            <w:tcW w:w="1631" w:type="dxa"/>
            <w:tcBorders>
              <w:bottom w:val="single" w:sz="8" w:space="0" w:color="000000"/>
            </w:tcBorders>
            <w:noWrap w:val="0"/>
            <w:tcMar>
              <w:top w:w="30"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000000"/>
                <w:sz w:val="28"/>
                <w:szCs w:val="28"/>
              </w:rPr>
              <w:t>（元/学年）</w:t>
            </w:r>
          </w:p>
        </w:tc>
      </w:tr>
      <w:tr>
        <w:tblPrEx>
          <w:tblW w:w="14325" w:type="dxa"/>
          <w:tblInd w:w="168" w:type="dxa"/>
          <w:tblCellMar>
            <w:top w:w="15" w:type="dxa"/>
            <w:left w:w="15" w:type="dxa"/>
            <w:bottom w:w="15" w:type="dxa"/>
            <w:right w:w="15" w:type="dxa"/>
          </w:tblCellMar>
        </w:tblPrEx>
        <w:trPr>
          <w:trHeight w:val="1140"/>
        </w:trPr>
        <w:tc>
          <w:tcPr>
            <w:tcW w:w="2371" w:type="dxa"/>
            <w:tcBorders>
              <w:top w:val="single" w:sz="6" w:space="0" w:color="CCCCCC"/>
              <w:bottom w:val="single" w:sz="8" w:space="0" w:color="000000"/>
              <w:right w:val="single" w:sz="8" w:space="0" w:color="000000"/>
            </w:tcBorders>
            <w:noWrap w:val="0"/>
            <w:tcMar>
              <w:top w:w="8"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健康管理</w:t>
            </w:r>
          </w:p>
        </w:tc>
        <w:tc>
          <w:tcPr>
            <w:tcW w:w="140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620801</w:t>
            </w:r>
          </w:p>
        </w:tc>
        <w:tc>
          <w:tcPr>
            <w:tcW w:w="966"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3</w:t>
            </w:r>
          </w:p>
        </w:tc>
        <w:tc>
          <w:tcPr>
            <w:tcW w:w="107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210</w:t>
            </w:r>
          </w:p>
        </w:tc>
        <w:tc>
          <w:tcPr>
            <w:tcW w:w="1631" w:type="dxa"/>
            <w:tcBorders>
              <w:top w:val="single" w:sz="6" w:space="0" w:color="CCCCCC"/>
              <w:bottom w:val="single" w:sz="8" w:space="0" w:color="000000"/>
            </w:tcBorders>
            <w:noWrap w:val="0"/>
            <w:tcMar>
              <w:top w:w="8"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8600</w:t>
            </w:r>
          </w:p>
        </w:tc>
      </w:tr>
      <w:tr>
        <w:tblPrEx>
          <w:tblW w:w="14325" w:type="dxa"/>
          <w:tblInd w:w="168" w:type="dxa"/>
          <w:tblCellMar>
            <w:top w:w="15" w:type="dxa"/>
            <w:left w:w="15" w:type="dxa"/>
            <w:bottom w:w="15" w:type="dxa"/>
            <w:right w:w="15" w:type="dxa"/>
          </w:tblCellMar>
        </w:tblPrEx>
        <w:trPr>
          <w:trHeight w:val="1230"/>
        </w:trPr>
        <w:tc>
          <w:tcPr>
            <w:tcW w:w="2371" w:type="dxa"/>
            <w:tcBorders>
              <w:top w:val="single" w:sz="8" w:space="0" w:color="000000"/>
              <w:bottom w:val="single" w:sz="8" w:space="0" w:color="000000"/>
              <w:right w:val="single" w:sz="8" w:space="0" w:color="000000"/>
            </w:tcBorders>
            <w:noWrap w:val="0"/>
            <w:tcMar>
              <w:top w:w="10"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老年保健与管理</w:t>
            </w:r>
          </w:p>
        </w:tc>
        <w:tc>
          <w:tcPr>
            <w:tcW w:w="1401" w:type="dxa"/>
            <w:tcBorders>
              <w:top w:val="single" w:sz="8" w:space="0" w:color="000000"/>
              <w:bottom w:val="single" w:sz="8" w:space="0" w:color="000000"/>
              <w:right w:val="single" w:sz="8" w:space="0" w:color="000000"/>
            </w:tcBorders>
            <w:noWrap w:val="0"/>
            <w:tcMar>
              <w:top w:w="1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620811</w:t>
            </w:r>
          </w:p>
        </w:tc>
        <w:tc>
          <w:tcPr>
            <w:tcW w:w="966" w:type="dxa"/>
            <w:tcBorders>
              <w:top w:val="single" w:sz="8" w:space="0" w:color="000000"/>
              <w:bottom w:val="single" w:sz="8" w:space="0" w:color="000000"/>
              <w:right w:val="single" w:sz="8" w:space="0" w:color="000000"/>
            </w:tcBorders>
            <w:noWrap w:val="0"/>
            <w:tcMar>
              <w:top w:w="1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3</w:t>
            </w:r>
          </w:p>
        </w:tc>
        <w:tc>
          <w:tcPr>
            <w:tcW w:w="1071" w:type="dxa"/>
            <w:tcBorders>
              <w:top w:val="single" w:sz="8" w:space="0" w:color="000000"/>
              <w:bottom w:val="single" w:sz="8" w:space="0" w:color="000000"/>
              <w:right w:val="single" w:sz="8" w:space="0" w:color="000000"/>
            </w:tcBorders>
            <w:noWrap w:val="0"/>
            <w:tcMar>
              <w:top w:w="10"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60</w:t>
            </w:r>
          </w:p>
        </w:tc>
        <w:tc>
          <w:tcPr>
            <w:tcW w:w="1631" w:type="dxa"/>
            <w:tcBorders>
              <w:top w:val="single" w:sz="8" w:space="0" w:color="000000"/>
              <w:bottom w:val="single" w:sz="8" w:space="0" w:color="000000"/>
            </w:tcBorders>
            <w:noWrap w:val="0"/>
            <w:tcMar>
              <w:top w:w="10"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8600</w:t>
            </w:r>
          </w:p>
        </w:tc>
      </w:tr>
      <w:tr>
        <w:tblPrEx>
          <w:tblW w:w="14325" w:type="dxa"/>
          <w:tblInd w:w="168" w:type="dxa"/>
          <w:tblCellMar>
            <w:top w:w="15" w:type="dxa"/>
            <w:left w:w="15" w:type="dxa"/>
            <w:bottom w:w="15" w:type="dxa"/>
            <w:right w:w="15" w:type="dxa"/>
          </w:tblCellMar>
        </w:tblPrEx>
        <w:trPr>
          <w:trHeight w:val="1635"/>
        </w:trPr>
        <w:tc>
          <w:tcPr>
            <w:tcW w:w="2371" w:type="dxa"/>
            <w:tcBorders>
              <w:top w:val="single" w:sz="6" w:space="0" w:color="CCCCCC"/>
              <w:bottom w:val="single" w:sz="8" w:space="0" w:color="000000"/>
              <w:right w:val="single" w:sz="8" w:space="0" w:color="000000"/>
            </w:tcBorders>
            <w:noWrap w:val="0"/>
            <w:tcMar>
              <w:top w:w="8"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旅游管理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(健康旅游方向）</w:t>
            </w:r>
          </w:p>
        </w:tc>
        <w:tc>
          <w:tcPr>
            <w:tcW w:w="140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640101</w:t>
            </w:r>
          </w:p>
        </w:tc>
        <w:tc>
          <w:tcPr>
            <w:tcW w:w="966"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3</w:t>
            </w:r>
          </w:p>
        </w:tc>
        <w:tc>
          <w:tcPr>
            <w:tcW w:w="107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60</w:t>
            </w:r>
          </w:p>
        </w:tc>
        <w:tc>
          <w:tcPr>
            <w:tcW w:w="1631" w:type="dxa"/>
            <w:tcBorders>
              <w:top w:val="single" w:sz="6" w:space="0" w:color="CCCCCC"/>
              <w:bottom w:val="single" w:sz="8" w:space="0" w:color="000000"/>
            </w:tcBorders>
            <w:noWrap w:val="0"/>
            <w:tcMar>
              <w:top w:w="8"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8600</w:t>
            </w:r>
          </w:p>
        </w:tc>
      </w:tr>
      <w:tr>
        <w:tblPrEx>
          <w:tblW w:w="14325" w:type="dxa"/>
          <w:tblInd w:w="168" w:type="dxa"/>
          <w:tblCellMar>
            <w:top w:w="15" w:type="dxa"/>
            <w:left w:w="15" w:type="dxa"/>
            <w:bottom w:w="15" w:type="dxa"/>
            <w:right w:w="15" w:type="dxa"/>
          </w:tblCellMar>
        </w:tblPrEx>
        <w:trPr>
          <w:trHeight w:val="1230"/>
        </w:trPr>
        <w:tc>
          <w:tcPr>
            <w:tcW w:w="2371" w:type="dxa"/>
            <w:tcBorders>
              <w:top w:val="single" w:sz="6" w:space="0" w:color="CCCCCC"/>
              <w:bottom w:val="single" w:sz="8" w:space="0" w:color="000000"/>
              <w:right w:val="single" w:sz="8" w:space="0" w:color="000000"/>
            </w:tcBorders>
            <w:noWrap w:val="0"/>
            <w:tcMar>
              <w:top w:w="8"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食品质量与安全</w:t>
            </w:r>
          </w:p>
        </w:tc>
        <w:tc>
          <w:tcPr>
            <w:tcW w:w="140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590103</w:t>
            </w:r>
          </w:p>
        </w:tc>
        <w:tc>
          <w:tcPr>
            <w:tcW w:w="966"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3</w:t>
            </w:r>
          </w:p>
        </w:tc>
        <w:tc>
          <w:tcPr>
            <w:tcW w:w="107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60</w:t>
            </w:r>
          </w:p>
        </w:tc>
        <w:tc>
          <w:tcPr>
            <w:tcW w:w="1631" w:type="dxa"/>
            <w:tcBorders>
              <w:top w:val="single" w:sz="6" w:space="0" w:color="CCCCCC"/>
              <w:bottom w:val="single" w:sz="8" w:space="0" w:color="000000"/>
            </w:tcBorders>
            <w:noWrap w:val="0"/>
            <w:tcMar>
              <w:top w:w="8"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7600</w:t>
            </w:r>
          </w:p>
        </w:tc>
      </w:tr>
      <w:tr>
        <w:tblPrEx>
          <w:tblW w:w="14325" w:type="dxa"/>
          <w:tblInd w:w="168" w:type="dxa"/>
          <w:tblCellMar>
            <w:top w:w="15" w:type="dxa"/>
            <w:left w:w="15" w:type="dxa"/>
            <w:bottom w:w="15" w:type="dxa"/>
            <w:right w:w="15" w:type="dxa"/>
          </w:tblCellMar>
        </w:tblPrEx>
        <w:trPr>
          <w:trHeight w:val="1230"/>
        </w:trPr>
        <w:tc>
          <w:tcPr>
            <w:tcW w:w="2371" w:type="dxa"/>
            <w:tcBorders>
              <w:top w:val="single" w:sz="6" w:space="0" w:color="CCCCCC"/>
              <w:bottom w:val="single" w:sz="8" w:space="0" w:color="000000"/>
              <w:right w:val="single" w:sz="8" w:space="0" w:color="000000"/>
            </w:tcBorders>
            <w:noWrap w:val="0"/>
            <w:tcMar>
              <w:top w:w="8" w:type="dxa"/>
              <w:left w:w="138"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食品营养与检测</w:t>
            </w:r>
          </w:p>
        </w:tc>
        <w:tc>
          <w:tcPr>
            <w:tcW w:w="140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590107</w:t>
            </w:r>
          </w:p>
        </w:tc>
        <w:tc>
          <w:tcPr>
            <w:tcW w:w="966"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3</w:t>
            </w:r>
          </w:p>
        </w:tc>
        <w:tc>
          <w:tcPr>
            <w:tcW w:w="1071" w:type="dxa"/>
            <w:tcBorders>
              <w:top w:val="single" w:sz="6" w:space="0" w:color="CCCCCC"/>
              <w:bottom w:val="single" w:sz="8" w:space="0" w:color="000000"/>
              <w:right w:val="single" w:sz="8" w:space="0" w:color="000000"/>
            </w:tcBorders>
            <w:noWrap w:val="0"/>
            <w:tcMar>
              <w:top w:w="8" w:type="dxa"/>
              <w:left w:w="113" w:type="dxa"/>
              <w:bottom w:w="10" w:type="dxa"/>
              <w:right w:w="11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60</w:t>
            </w:r>
          </w:p>
        </w:tc>
        <w:tc>
          <w:tcPr>
            <w:tcW w:w="1631" w:type="dxa"/>
            <w:tcBorders>
              <w:top w:val="single" w:sz="6" w:space="0" w:color="CCCCCC"/>
              <w:bottom w:val="single" w:sz="8" w:space="0" w:color="000000"/>
            </w:tcBorders>
            <w:noWrap w:val="0"/>
            <w:tcMar>
              <w:top w:w="8" w:type="dxa"/>
              <w:left w:w="113" w:type="dxa"/>
              <w:bottom w:w="1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7600</w:t>
            </w:r>
          </w:p>
        </w:tc>
      </w:tr>
      <w:tr>
        <w:tblPrEx>
          <w:tblW w:w="14325" w:type="dxa"/>
          <w:tblInd w:w="168" w:type="dxa"/>
          <w:tblCellMar>
            <w:top w:w="15" w:type="dxa"/>
            <w:left w:w="15" w:type="dxa"/>
            <w:bottom w:w="15" w:type="dxa"/>
            <w:right w:w="15" w:type="dxa"/>
          </w:tblCellMar>
        </w:tblPrEx>
        <w:trPr>
          <w:trHeight w:val="1875"/>
        </w:trPr>
        <w:tc>
          <w:tcPr>
            <w:tcW w:w="6546" w:type="dxa"/>
            <w:gridSpan w:val="5"/>
            <w:tcBorders>
              <w:top w:val="single" w:sz="8" w:space="0" w:color="000000"/>
            </w:tcBorders>
            <w:noWrap w:val="0"/>
            <w:tcMar>
              <w:top w:w="10" w:type="dxa"/>
              <w:left w:w="138" w:type="dxa"/>
              <w:bottom w:w="30" w:type="dxa"/>
              <w:right w:w="138"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住宿和书本费标准：学生住宿标准为4人/间，</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000000"/>
                <w:sz w:val="21"/>
                <w:szCs w:val="21"/>
              </w:rPr>
              <w:t>1200元/人/年；书本费预收1000元/三年，多退少补。</w:t>
            </w:r>
          </w:p>
        </w:tc>
      </w:tr>
    </w:tbl>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注：收费标准，以海南省物价局审定价格为准</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第二十二条</w:t>
      </w:r>
      <w:r>
        <w:rPr>
          <w:rFonts w:ascii="SimSun" w:eastAsia="SimSun" w:hAnsi="SimSun" w:cs="SimSun"/>
          <w:color w:val="666666"/>
          <w:sz w:val="21"/>
          <w:szCs w:val="21"/>
        </w:rPr>
        <w:t> </w:t>
      </w:r>
      <w:r>
        <w:rPr>
          <w:rFonts w:ascii="SimSun" w:eastAsia="SimSun" w:hAnsi="SimSun" w:cs="SimSun"/>
          <w:color w:val="666666"/>
        </w:rPr>
        <w:t>录取结果等相关信息，可通过以下方式咨询：</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地址：海南省澄迈县文化北路</w:t>
      </w:r>
      <w:r>
        <w:rPr>
          <w:rFonts w:ascii="SimSun" w:eastAsia="SimSun" w:hAnsi="SimSun" w:cs="SimSun"/>
          <w:color w:val="666666"/>
          <w:sz w:val="21"/>
          <w:szCs w:val="21"/>
        </w:rPr>
        <w:t>1号</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联系部门：海南健康管理职业技术学院学生工作（招生与就业）处</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咨询电话：（</w:t>
      </w:r>
      <w:r>
        <w:rPr>
          <w:rFonts w:ascii="SimSun" w:eastAsia="SimSun" w:hAnsi="SimSun" w:cs="SimSun"/>
          <w:color w:val="666666"/>
          <w:sz w:val="21"/>
          <w:szCs w:val="21"/>
        </w:rPr>
        <w:t>0898）32115011  32115022  32115033</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传真号码：（</w:t>
      </w:r>
      <w:r>
        <w:rPr>
          <w:rFonts w:ascii="SimSun" w:eastAsia="SimSun" w:hAnsi="SimSun" w:cs="SimSun"/>
          <w:color w:val="666666"/>
          <w:sz w:val="21"/>
          <w:szCs w:val="21"/>
        </w:rPr>
        <w:t>0898）32115055</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监督电话：（</w:t>
      </w:r>
      <w:r>
        <w:rPr>
          <w:rFonts w:ascii="SimSun" w:eastAsia="SimSun" w:hAnsi="SimSun" w:cs="SimSun"/>
          <w:color w:val="666666"/>
          <w:sz w:val="21"/>
          <w:szCs w:val="21"/>
        </w:rPr>
        <w:t>0898）32115066</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sz w:val="21"/>
          <w:szCs w:val="21"/>
        </w:rPr>
        <w:t>E-mail: hainhmc@163.com</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网址：</w:t>
      </w:r>
      <w:r>
        <w:rPr>
          <w:rFonts w:ascii="SimSun" w:eastAsia="SimSun" w:hAnsi="SimSun" w:cs="SimSun"/>
          <w:color w:val="666666"/>
          <w:sz w:val="21"/>
          <w:szCs w:val="21"/>
        </w:rPr>
        <w:t>hainhmc.edu.cn</w:t>
      </w:r>
    </w:p>
    <w:p>
      <w:pPr>
        <w:pBdr>
          <w:top w:val="none" w:sz="0" w:space="0" w:color="auto"/>
          <w:left w:val="none" w:sz="0" w:space="0" w:color="auto"/>
          <w:bottom w:val="none" w:sz="0" w:space="0" w:color="auto"/>
          <w:right w:val="none" w:sz="0" w:space="0" w:color="auto"/>
        </w:pBdr>
        <w:spacing w:before="100" w:after="100" w:line="420"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rPr>
        <w:t>第七章</w:t>
      </w:r>
      <w:r>
        <w:rPr>
          <w:rFonts w:ascii="SimSun" w:eastAsia="SimSun" w:hAnsi="SimSun" w:cs="SimSun"/>
          <w:b/>
          <w:bCs/>
          <w:color w:val="666666"/>
          <w:sz w:val="32"/>
          <w:szCs w:val="32"/>
        </w:rPr>
        <w:t> 附则</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第二十三条</w:t>
      </w:r>
      <w:r>
        <w:rPr>
          <w:rFonts w:ascii="SimSun" w:eastAsia="SimSun" w:hAnsi="SimSun" w:cs="SimSun"/>
          <w:color w:val="666666"/>
          <w:sz w:val="21"/>
          <w:szCs w:val="21"/>
        </w:rPr>
        <w:t> 我校从不委托任何单位和个人代办招生事宜，有关招生录取问题，请直接与我校招生办公室联系，否则，出现任何后果，学校概不负责。</w:t>
      </w:r>
    </w:p>
    <w:p>
      <w:pPr>
        <w:pBdr>
          <w:top w:val="none" w:sz="0" w:space="0" w:color="auto"/>
          <w:left w:val="none" w:sz="0" w:space="0" w:color="auto"/>
          <w:bottom w:val="none" w:sz="0" w:space="0" w:color="auto"/>
          <w:right w:val="none" w:sz="0" w:space="0" w:color="auto"/>
        </w:pBdr>
        <w:spacing w:before="100" w:after="100" w:line="420" w:lineRule="atLeast"/>
        <w:ind w:left="0" w:right="0" w:firstLine="640"/>
        <w:rPr>
          <w:rFonts w:ascii="Microsoft YaHei" w:eastAsia="Microsoft YaHei" w:hAnsi="Microsoft YaHei" w:cs="Microsoft YaHei"/>
          <w:color w:val="666666"/>
          <w:sz w:val="21"/>
          <w:szCs w:val="21"/>
        </w:rPr>
      </w:pPr>
      <w:r>
        <w:rPr>
          <w:rFonts w:ascii="SimSun" w:eastAsia="SimSun" w:hAnsi="SimSun" w:cs="SimSun"/>
          <w:color w:val="666666"/>
        </w:rPr>
        <w:t>第二十四条</w:t>
      </w:r>
      <w:r>
        <w:rPr>
          <w:rFonts w:ascii="SimSun" w:eastAsia="SimSun" w:hAnsi="SimSun" w:cs="SimSun"/>
          <w:color w:val="666666"/>
          <w:sz w:val="21"/>
          <w:szCs w:val="21"/>
        </w:rPr>
        <w:t> 本章程由海南健康管理职业技术学院学生工作（招生与就业）处负责解释。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海南体育职业技术学院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4.html" TargetMode="External" /><Relationship Id="rId11" Type="http://schemas.openxmlformats.org/officeDocument/2006/relationships/hyperlink" Target="http://www.gk114.com/a/gxzs/zszc/hainan/2022/0611/22743.html" TargetMode="External" /><Relationship Id="rId12" Type="http://schemas.openxmlformats.org/officeDocument/2006/relationships/hyperlink" Target="http://www.gk114.com/a/gxzs/zszc/hainan/2022/0611/22741.html" TargetMode="External" /><Relationship Id="rId13" Type="http://schemas.openxmlformats.org/officeDocument/2006/relationships/hyperlink" Target="http://www.gk114.com/a/gxzs/zszc/hainan/2022/0611/22740.html" TargetMode="External" /><Relationship Id="rId14" Type="http://schemas.openxmlformats.org/officeDocument/2006/relationships/hyperlink" Target="http://www.gk114.com/a/gxzs/zszc/hainan/2022/0611/22739.html" TargetMode="External" /><Relationship Id="rId15" Type="http://schemas.openxmlformats.org/officeDocument/2006/relationships/hyperlink" Target="http://www.gk114.com/a/gxzs/zszc/hainan/2022/0611/22738.html" TargetMode="External" /><Relationship Id="rId16" Type="http://schemas.openxmlformats.org/officeDocument/2006/relationships/hyperlink" Target="http://www.gk114.com/a/gxzs/zszc/hainan/2020/0627/17015.html" TargetMode="External" /><Relationship Id="rId17" Type="http://schemas.openxmlformats.org/officeDocument/2006/relationships/hyperlink" Target="http://www.gk114.com/a/gxzs/zszc/hainan/2020/0627/17014.html" TargetMode="External" /><Relationship Id="rId18" Type="http://schemas.openxmlformats.org/officeDocument/2006/relationships/hyperlink" Target="http://www.gk114.com/a/gxzs/zszc/hainan/2020/0627/1701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hncst.edu.cn/UserFiles/File/tijian.doc" TargetMode="External" /><Relationship Id="rId5" Type="http://schemas.openxmlformats.org/officeDocument/2006/relationships/hyperlink" Target="http://www.moe.edu.cn/publicfiles/business/htmlfiles/moe/s3258/201005/xxgk_87433.html/" TargetMode="External" /><Relationship Id="rId6" Type="http://schemas.openxmlformats.org/officeDocument/2006/relationships/hyperlink" Target="http://www.gk114.com/a/gxzs/zszc/hainan/2019/0307/7201.html" TargetMode="External" /><Relationship Id="rId7" Type="http://schemas.openxmlformats.org/officeDocument/2006/relationships/hyperlink" Target="http://www.gk114.com/a/gxzs/zszc/hainan/2019/0307/7203.html" TargetMode="External" /><Relationship Id="rId8" Type="http://schemas.openxmlformats.org/officeDocument/2006/relationships/hyperlink" Target="http://www.gk114.com/a/gxzs/zszc/hainan/" TargetMode="External" /><Relationship Id="rId9" Type="http://schemas.openxmlformats.org/officeDocument/2006/relationships/hyperlink" Target="http://www.gk114.com/a/gxzs/zszc/hainan/2022/0611/227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