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深圳北理莫斯科大学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年本科综合评价招生简章（适用于传统高考省市）</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2023-03-13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（适用于山西、内蒙古、吉林、黑龙江、安徽、江西、河南、四川、陕西）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深圳北理莫斯科大学是国家主席习近平、俄罗斯总统普京达成重要共识，由深圳市人民政府、北京理工大学和莫斯科国立罗蒙诺索夫大学（简称“莫斯科大学”）三方合作设立的具有独立法人资格的公办性质的中外合作大学。学校以建设独具特色的世界一流国际化综合性研究型大学为目标，致力于开展精英教育以及高水平科学研究和创新活动。学校人才培养包括本科生、硕士研究生和博士研究生。2016年10月，学校获教育部批准正式设立。2017年学校招收首批本科生和硕士研究生，2018年招收首批博士研究生，2020年设立博士后创新实践基地，2021年入选广东省新一轮高水平大学重点学科建设高校，2022年3月入选国家自然科学基金依托单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落实党的教育方针，探索实践高考招生录取模式改革，经教育部批准，深圳北理莫斯科大学主要采用基于高考成绩的综合评价录取模式，即根据学生的“高考成绩（占60%）、学校测试成绩（占30%）和高中学业水平考试成绩（占10%）”（简称 “631”）进行综合评价排名，择优录取。参加综合评价录取模式的考生须参加并通过我校组织的学校测试，全部在提前批次录取。依据《教育部关于做好2023年普通高校招生工作的通知》（教学〔2023〕1号）等文件精神，结合学校实际，制定本招生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参加2023年普通高等学校招生全国统一考试，志存高远，全面发展，具有外语学科特长与兴趣、创新思维、国际视野和社会责任感的优秀高中毕业生。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二、招生专业及范围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1.招生专业</w:t>
      </w:r>
    </w:p>
    <w:tbl>
      <w:tblPr>
        <w:tblW w:w="12192" w:type="dxa"/>
        <w:jc w:val="center"/>
        <w:tblInd w:w="105" w:type="dxa"/>
        <w:tblCellMar>
          <w:top w:w="0" w:type="dxa"/>
          <w:left w:w="0" w:type="dxa"/>
          <w:bottom w:w="0" w:type="dxa"/>
          <w:right w:w="0" w:type="dxa"/>
        </w:tblCellMar>
      </w:tblPr>
      <w:tblGrid>
        <w:gridCol w:w="830"/>
        <w:gridCol w:w="1632"/>
        <w:gridCol w:w="3197"/>
        <w:gridCol w:w="1670"/>
        <w:gridCol w:w="8110"/>
        <w:gridCol w:w="4470"/>
      </w:tblGrid>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bCs/>
                <w:i w:val="0"/>
                <w:iCs w:val="0"/>
                <w:smallCaps w:val="0"/>
                <w:color w:val="333333"/>
                <w:sz w:val="28"/>
                <w:szCs w:val="28"/>
              </w:rPr>
              <w:t>序号</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bCs/>
                <w:i w:val="0"/>
                <w:iCs w:val="0"/>
                <w:smallCaps w:val="0"/>
                <w:color w:val="333333"/>
                <w:sz w:val="28"/>
                <w:szCs w:val="28"/>
              </w:rPr>
              <w:t>专业代码</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bCs/>
                <w:i w:val="0"/>
                <w:iCs w:val="0"/>
                <w:smallCaps w:val="0"/>
                <w:color w:val="333333"/>
                <w:sz w:val="28"/>
                <w:szCs w:val="28"/>
              </w:rPr>
              <w:t>专业名称</w:t>
            </w:r>
          </w:p>
        </w:tc>
        <w:tc>
          <w:tcPr>
            <w:tcW w:w="186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bCs/>
                <w:i w:val="0"/>
                <w:iCs w:val="0"/>
                <w:smallCaps w:val="0"/>
                <w:color w:val="333333"/>
                <w:sz w:val="28"/>
                <w:szCs w:val="28"/>
              </w:rPr>
              <w:t>招生类别</w:t>
            </w:r>
          </w:p>
        </w:tc>
        <w:tc>
          <w:tcPr>
            <w:tcW w:w="181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bCs/>
                <w:i w:val="0"/>
                <w:iCs w:val="0"/>
                <w:smallCaps w:val="0"/>
                <w:color w:val="333333"/>
                <w:sz w:val="28"/>
                <w:szCs w:val="28"/>
              </w:rPr>
              <w:t>学籍</w:t>
            </w:r>
          </w:p>
        </w:tc>
        <w:tc>
          <w:tcPr>
            <w:tcW w:w="17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bCs/>
                <w:i w:val="0"/>
                <w:iCs w:val="0"/>
                <w:smallCaps w:val="0"/>
                <w:color w:val="333333"/>
                <w:sz w:val="28"/>
                <w:szCs w:val="28"/>
              </w:rPr>
              <w:t>学历学位</w:t>
            </w:r>
          </w:p>
        </w:tc>
      </w:tr>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1</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070101H</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数学与应用数学</w:t>
            </w:r>
          </w:p>
        </w:tc>
        <w:tc>
          <w:tcPr>
            <w:tcW w:w="184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理工</w:t>
            </w:r>
          </w:p>
        </w:tc>
        <w:tc>
          <w:tcPr>
            <w:tcW w:w="1815"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莫斯科大学学籍和深圳北理莫斯科大学学籍（简称“双学籍”）</w:t>
            </w:r>
          </w:p>
        </w:tc>
        <w:tc>
          <w:tcPr>
            <w:tcW w:w="1755"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莫斯科大学毕业（含学位）证书和</w:t>
            </w:r>
          </w:p>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深圳北理莫斯科大学学历学位证书</w:t>
            </w:r>
          </w:p>
        </w:tc>
      </w:tr>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2</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071001H</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*生物科学</w:t>
            </w:r>
          </w:p>
        </w:tc>
        <w:tc>
          <w:tcPr>
            <w:tcW w:w="186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理工</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r>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3</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080401H</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材料科学与工程</w:t>
            </w:r>
          </w:p>
        </w:tc>
        <w:tc>
          <w:tcPr>
            <w:tcW w:w="186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理工</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r>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4</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020101H</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经济学</w:t>
            </w:r>
          </w:p>
        </w:tc>
        <w:tc>
          <w:tcPr>
            <w:tcW w:w="186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理工</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r>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5</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070301H</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化学</w:t>
            </w:r>
          </w:p>
        </w:tc>
        <w:tc>
          <w:tcPr>
            <w:tcW w:w="186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理工</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r>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6</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050202H</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俄语</w:t>
            </w:r>
          </w:p>
        </w:tc>
        <w:tc>
          <w:tcPr>
            <w:tcW w:w="186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文史、理工</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r>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7</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020401H</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国际经济与贸易</w:t>
            </w:r>
          </w:p>
        </w:tc>
        <w:tc>
          <w:tcPr>
            <w:tcW w:w="186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文史、理工</w:t>
            </w:r>
          </w:p>
        </w:tc>
        <w:tc>
          <w:tcPr>
            <w:tcW w:w="1815"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深圳北理莫斯科大学学籍（简称“单学籍”）</w:t>
            </w:r>
          </w:p>
        </w:tc>
        <w:tc>
          <w:tcPr>
            <w:tcW w:w="1755"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深圳北理莫斯科大学学历学位证书</w:t>
            </w:r>
          </w:p>
        </w:tc>
      </w:tr>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8</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080909TH</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电子与计算机工程</w:t>
            </w:r>
          </w:p>
        </w:tc>
        <w:tc>
          <w:tcPr>
            <w:tcW w:w="186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理工</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r>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9</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071001H</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*生物科学（英语授课）</w:t>
            </w:r>
          </w:p>
        </w:tc>
        <w:tc>
          <w:tcPr>
            <w:tcW w:w="186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理工</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r>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10</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 </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智能感知工程</w:t>
            </w:r>
          </w:p>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（审批中）</w:t>
            </w:r>
          </w:p>
        </w:tc>
        <w:tc>
          <w:tcPr>
            <w:tcW w:w="186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理工</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r>
      <w:tr>
        <w:tblPrEx>
          <w:tblW w:w="12192" w:type="dxa"/>
          <w:jc w:val="center"/>
          <w:tblInd w:w="105" w:type="dxa"/>
          <w:tblCellMar>
            <w:top w:w="0" w:type="dxa"/>
            <w:left w:w="0" w:type="dxa"/>
            <w:bottom w:w="0" w:type="dxa"/>
            <w:right w:w="0" w:type="dxa"/>
          </w:tblCellMar>
        </w:tblPrEx>
        <w:trPr>
          <w:jc w:val="center"/>
        </w:trPr>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11</w:t>
            </w:r>
          </w:p>
        </w:tc>
        <w:tc>
          <w:tcPr>
            <w:tcW w:w="133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Microsoft YaHei" w:eastAsia="Microsoft YaHei" w:hAnsi="Microsoft YaHei" w:cs="Microsoft YaHei"/>
                <w:b w:val="0"/>
                <w:bCs w:val="0"/>
                <w:i w:val="0"/>
                <w:iCs w:val="0"/>
                <w:smallCaps w:val="0"/>
                <w:color w:val="333333"/>
              </w:rPr>
              <w:t> </w:t>
            </w:r>
          </w:p>
        </w:tc>
        <w:tc>
          <w:tcPr>
            <w:tcW w:w="249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金融科技</w:t>
            </w:r>
          </w:p>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（审批中）</w:t>
            </w:r>
          </w:p>
        </w:tc>
        <w:tc>
          <w:tcPr>
            <w:tcW w:w="186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jc w:val="center"/>
              <w:rPr>
                <w:rFonts w:ascii="Microsoft YaHei" w:eastAsia="Microsoft YaHei" w:hAnsi="Microsoft YaHei" w:cs="Microsoft YaHei"/>
                <w:b w:val="0"/>
                <w:bCs w:val="0"/>
                <w:i w:val="0"/>
                <w:iCs w:val="0"/>
                <w:smallCaps w:val="0"/>
                <w:color w:val="333333"/>
                <w:sz w:val="28"/>
                <w:szCs w:val="28"/>
              </w:rPr>
            </w:pPr>
            <w:r>
              <w:rPr>
                <w:rFonts w:ascii="Microsoft YaHei" w:eastAsia="Microsoft YaHei" w:hAnsi="Microsoft YaHei" w:cs="Microsoft YaHei"/>
                <w:b w:val="0"/>
                <w:bCs w:val="0"/>
                <w:i w:val="0"/>
                <w:iCs w:val="0"/>
                <w:smallCaps w:val="0"/>
                <w:color w:val="333333"/>
                <w:sz w:val="28"/>
                <w:szCs w:val="28"/>
              </w:rPr>
              <w:t>理工</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sz w:val="28"/>
                <w:szCs w:val="28"/>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说明：（1）*生物科学专业按双学籍和单学籍平行招生，培养方案均依据莫斯科大学该专业培养标准制定。考生报考该专业时，需仔细阅读高考报名所在地公布的招生专业目录。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（2）双学籍专业的主要教学语言为俄语，单学籍专业的主要教学语言为英语、中文。其中，国际经济与贸易专业和生物科学(英语授课)专业的主要教学语言为英语。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2.学籍学位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双学籍”专业录取的学生将注册深圳北理莫斯科大学和莫斯科大学两校学籍，达到毕业要求者，颁发深圳北理莫斯科大学毕业证书；对符合学士学位授予条件的本科毕业生，授予学士学位并颁发学位证书。符合莫斯科大学规定的本科毕业生，颁发莫斯科大学毕业（含学位）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（2）“单学籍”专业录取的学生将注册深圳北理莫斯科大学学籍，达到毕业要求者，颁发深圳北理莫斯科大学毕业证书；对符合学士学位授予条件的本科毕业生，授予学士学位并颁发学位证书。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3.招生省市及各省市招生专业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在山西、内蒙古、吉林、黑龙江、安徽、江西、河南、四川、陕西各省（自治区）计划招生专业如下（“√”表示该地区有此招生专业）：</w:t>
      </w:r>
    </w:p>
    <w:tbl>
      <w:tblPr>
        <w:tblW w:w="12192" w:type="dxa"/>
        <w:jc w:val="center"/>
        <w:tblInd w:w="105" w:type="dxa"/>
        <w:tblCellMar>
          <w:top w:w="0" w:type="dxa"/>
          <w:left w:w="0" w:type="dxa"/>
          <w:bottom w:w="0" w:type="dxa"/>
          <w:right w:w="0" w:type="dxa"/>
        </w:tblCellMar>
      </w:tblPr>
      <w:tblGrid>
        <w:gridCol w:w="830"/>
        <w:gridCol w:w="3070"/>
        <w:gridCol w:w="1110"/>
        <w:gridCol w:w="1110"/>
        <w:gridCol w:w="830"/>
        <w:gridCol w:w="1110"/>
        <w:gridCol w:w="1110"/>
        <w:gridCol w:w="1110"/>
        <w:gridCol w:w="830"/>
        <w:gridCol w:w="830"/>
        <w:gridCol w:w="830"/>
      </w:tblGrid>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序号</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专业名称</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山西</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内蒙古</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吉林</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黑龙江</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安徽</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江西</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河南</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四川</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陕西</w:t>
            </w:r>
          </w:p>
        </w:tc>
      </w:tr>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1</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数学与应用数学</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r>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2</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生物科学</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r>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3</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材料科学与工程</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4</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经济学</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r>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5</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化学</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6</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俄语</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仅招</w:t>
            </w:r>
          </w:p>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文史类</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仅招</w:t>
            </w:r>
          </w:p>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文史类</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仅招</w:t>
            </w:r>
          </w:p>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文史类</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仅招</w:t>
            </w:r>
          </w:p>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文史类</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r>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7</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国际经济与贸易</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仅招</w:t>
            </w:r>
          </w:p>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文史类</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仅招</w:t>
            </w:r>
          </w:p>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文史类</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仅招</w:t>
            </w:r>
          </w:p>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文史类</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仅招</w:t>
            </w:r>
          </w:p>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文史类</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8</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电子与计算机工程</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9</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生物科学（英语授课）</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10</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智能感知工程</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r>
      <w:tr>
        <w:tblPrEx>
          <w:tblW w:w="12192" w:type="dxa"/>
          <w:jc w:val="center"/>
          <w:tblInd w:w="105" w:type="dxa"/>
          <w:tblCellMar>
            <w:top w:w="0" w:type="dxa"/>
            <w:left w:w="0" w:type="dxa"/>
            <w:bottom w:w="0" w:type="dxa"/>
            <w:right w:w="0" w:type="dxa"/>
          </w:tblCellMar>
        </w:tblPrEx>
        <w:trPr>
          <w:jc w:val="center"/>
        </w:trPr>
        <w:tc>
          <w:tcPr>
            <w:tcW w:w="84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11</w:t>
            </w:r>
          </w:p>
        </w:tc>
        <w:tc>
          <w:tcPr>
            <w:tcW w:w="235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金融科技</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5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1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8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06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w:t>
            </w:r>
          </w:p>
        </w:tc>
        <w:tc>
          <w:tcPr>
            <w:tcW w:w="8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8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ind w:firstLine="56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说明：各省（自治区）招生专业将根据报名人数适当调整，最终以当地教育考试院公布的招生专业目录为准。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三、参加学校测试报名方式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考生自主申报，步骤如下：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络报名。考生须于2023年3月13日14：00至5月20日登录深圳北理莫斯科大学招生信息网(https://admission.smbu.edu.cn)本科综合评价招生报名管理系统进行报名，按要求如实填写个人基本信息、并根据系统提示上传相关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2.上传材料清单及要求。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（1）考生近期免冠照证件照。半年内拍摄的彩色免冠2寸标准证件照，底色不限，JPG 或JPEG 格式，在系统上传附件处上传。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中学习成绩单。含高中期间历次期末考试成绩、高中学业水平考试成绩、最近2-3次省级或市级或校级统一考试成绩。考生需按照成绩单模板填写并打印，由所在中学核实并加盖学校或教务部门公章，在系统上传附件处上传盖章扫描件或照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（3）高中综合素质档案及其他。例如学生社区服务、社会实践经历、研究性学习、自主选修课程学习情况、获奖情况等反映考生综合素质发展情况的写实性材料，在上传附件处上传扫描件或照片。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3.网络报名完成。考生在系统中完成填报,确认所填信息及提交材料均真实有效,方可提交完成网络报名。考生填写的信息如有不实，产生的一切后果由考生本人承担。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四、综合评价选拔程序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1.学校测试资格审核。学校审核考生报名材料，4月20日开始陆续公布通过初审获得学校测试资格的考生名单，考生可通过报名系统查询审核状态。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参加测试确认。获得学校测试资格的考生须在规定时间内，通过学校本科综合评价招生报名管理系统下载《入学考试申请书》，由考生本人签名确认后回传系统。同时考生须通过系统在线缴纳人民币200元/生审核评测费确认参加考试。逾期未回传《入学考试申请书》或未缴费者视为自动放弃学校测试资格，由此产生的后果由考生自行承担。费用一经缴纳，不予退还。</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校测试时间与成绩发布。考生确认参加测试后，于6月中旬（高考后）参加学校测试，具体测试安排另行通知。学校将于6月下旬在高考填报志愿前通过学校本科综合评价招生报名管理系统发布考生学校测试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考志愿填报。考生高考成绩须达到生源省（自治区）公布的第一批本科录取最低控制分数线及以上，并且学校测试成绩符合入围要求，即可在高考志愿提前批次填报深圳北理莫斯科大学。填报专业志愿时，学校测试科目不同的专业不可同时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5.录取。根据考生高考成绩、学校测试成绩与考生高中学业水平考试成绩计算考生综合成绩，按照考生综合成绩择优录取，并公示录取考生名单。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时间：2023年6月中旬（高考后），具体测试安排另行通知。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地点：具体地点另行通知。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考试科目：</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p>
    <w:tbl>
      <w:tblPr>
        <w:tblW w:w="12192" w:type="dxa"/>
        <w:jc w:val="center"/>
        <w:tblInd w:w="105" w:type="dxa"/>
        <w:tblCellMar>
          <w:top w:w="0" w:type="dxa"/>
          <w:left w:w="0" w:type="dxa"/>
          <w:bottom w:w="0" w:type="dxa"/>
          <w:right w:w="0" w:type="dxa"/>
        </w:tblCellMar>
      </w:tblPr>
      <w:tblGrid>
        <w:gridCol w:w="1670"/>
        <w:gridCol w:w="3070"/>
        <w:gridCol w:w="3910"/>
        <w:gridCol w:w="1670"/>
        <w:gridCol w:w="9230"/>
      </w:tblGrid>
      <w:tr>
        <w:tblPrEx>
          <w:tblW w:w="12192" w:type="dxa"/>
          <w:jc w:val="center"/>
          <w:tblInd w:w="105" w:type="dxa"/>
          <w:tblCellMar>
            <w:top w:w="0" w:type="dxa"/>
            <w:left w:w="0" w:type="dxa"/>
            <w:bottom w:w="0" w:type="dxa"/>
            <w:right w:w="0" w:type="dxa"/>
          </w:tblCellMar>
        </w:tblPrEx>
        <w:trPr>
          <w:jc w:val="center"/>
        </w:trPr>
        <w:tc>
          <w:tcPr>
            <w:tcW w:w="1560"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专业类型</w:t>
            </w:r>
          </w:p>
        </w:tc>
        <w:tc>
          <w:tcPr>
            <w:tcW w:w="2625"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招生专业</w:t>
            </w:r>
          </w:p>
        </w:tc>
        <w:tc>
          <w:tcPr>
            <w:tcW w:w="244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科目一</w:t>
            </w:r>
          </w:p>
        </w:tc>
        <w:tc>
          <w:tcPr>
            <w:tcW w:w="20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科目二</w:t>
            </w:r>
          </w:p>
        </w:tc>
        <w:tc>
          <w:tcPr>
            <w:tcW w:w="2580"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备注</w:t>
            </w:r>
          </w:p>
        </w:tc>
      </w:tr>
      <w:tr>
        <w:tblPrEx>
          <w:tblW w:w="12192" w:type="dxa"/>
          <w:jc w:val="center"/>
          <w:tblInd w:w="105" w:type="dxa"/>
          <w:tblCellMar>
            <w:top w:w="0" w:type="dxa"/>
            <w:left w:w="0" w:type="dxa"/>
            <w:bottom w:w="0" w:type="dxa"/>
            <w:right w:w="0" w:type="dxa"/>
          </w:tblCellMar>
        </w:tblPrEx>
        <w:trPr>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bCs/>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bCs/>
                <w:i w:val="0"/>
                <w:iCs w:val="0"/>
                <w:smallCaps w:val="0"/>
                <w:color w:val="000000"/>
                <w:sz w:val="28"/>
                <w:szCs w:val="28"/>
              </w:rPr>
            </w:pPr>
          </w:p>
        </w:tc>
        <w:tc>
          <w:tcPr>
            <w:tcW w:w="244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专业基础能力测试</w:t>
            </w:r>
          </w:p>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（笔试或机试）</w:t>
            </w:r>
          </w:p>
        </w:tc>
        <w:tc>
          <w:tcPr>
            <w:tcW w:w="20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外语测试</w:t>
            </w:r>
          </w:p>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bCs/>
                <w:i w:val="0"/>
                <w:iCs w:val="0"/>
                <w:smallCaps w:val="0"/>
                <w:color w:val="000000"/>
                <w:sz w:val="28"/>
                <w:szCs w:val="28"/>
              </w:rPr>
              <w:t>（机试）</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bCs/>
                <w:i w:val="0"/>
                <w:iCs w:val="0"/>
                <w:smallCaps w:val="0"/>
                <w:color w:val="000000"/>
                <w:sz w:val="28"/>
                <w:szCs w:val="28"/>
              </w:rPr>
            </w:pPr>
          </w:p>
        </w:tc>
      </w:tr>
      <w:tr>
        <w:tblPrEx>
          <w:tblW w:w="12192" w:type="dxa"/>
          <w:jc w:val="center"/>
          <w:tblInd w:w="105" w:type="dxa"/>
          <w:tblCellMar>
            <w:top w:w="0" w:type="dxa"/>
            <w:left w:w="0" w:type="dxa"/>
            <w:bottom w:w="0" w:type="dxa"/>
            <w:right w:w="0" w:type="dxa"/>
          </w:tblCellMar>
        </w:tblPrEx>
        <w:trPr>
          <w:jc w:val="center"/>
        </w:trPr>
        <w:tc>
          <w:tcPr>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双学籍专业</w:t>
            </w:r>
          </w:p>
        </w:tc>
        <w:tc>
          <w:tcPr>
            <w:tcW w:w="262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数学与应用数学</w:t>
            </w:r>
          </w:p>
        </w:tc>
        <w:tc>
          <w:tcPr>
            <w:tcW w:w="2445"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数学</w:t>
            </w:r>
          </w:p>
        </w:tc>
        <w:tc>
          <w:tcPr>
            <w:tcW w:w="2010"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英语或俄语</w:t>
            </w:r>
          </w:p>
        </w:tc>
        <w:tc>
          <w:tcPr>
            <w:tcW w:w="2580"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双学籍专业基础能力测试试题语言为俄中对照，考生不需具备俄语基础。</w:t>
            </w:r>
          </w:p>
        </w:tc>
      </w:tr>
      <w:tr>
        <w:tblPrEx>
          <w:tblW w:w="12192" w:type="dxa"/>
          <w:jc w:val="center"/>
          <w:tblInd w:w="105" w:type="dxa"/>
          <w:tblCellMar>
            <w:top w:w="0" w:type="dxa"/>
            <w:left w:w="0" w:type="dxa"/>
            <w:bottom w:w="0" w:type="dxa"/>
            <w:right w:w="0" w:type="dxa"/>
          </w:tblCellMar>
        </w:tblPrEx>
        <w:trPr>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tcW w:w="262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生物科学</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r>
      <w:tr>
        <w:tblPrEx>
          <w:tblW w:w="12192" w:type="dxa"/>
          <w:jc w:val="center"/>
          <w:tblInd w:w="105" w:type="dxa"/>
          <w:tblCellMar>
            <w:top w:w="0" w:type="dxa"/>
            <w:left w:w="0" w:type="dxa"/>
            <w:bottom w:w="0" w:type="dxa"/>
            <w:right w:w="0" w:type="dxa"/>
          </w:tblCellMar>
        </w:tblPrEx>
        <w:trPr>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tcW w:w="262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材料科学与工程</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r>
      <w:tr>
        <w:tblPrEx>
          <w:tblW w:w="12192" w:type="dxa"/>
          <w:jc w:val="center"/>
          <w:tblInd w:w="105" w:type="dxa"/>
          <w:tblCellMar>
            <w:top w:w="0" w:type="dxa"/>
            <w:left w:w="0" w:type="dxa"/>
            <w:bottom w:w="0" w:type="dxa"/>
            <w:right w:w="0" w:type="dxa"/>
          </w:tblCellMar>
        </w:tblPrEx>
        <w:trPr>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tcW w:w="262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经济学</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r>
      <w:tr>
        <w:tblPrEx>
          <w:tblW w:w="12192" w:type="dxa"/>
          <w:jc w:val="center"/>
          <w:tblInd w:w="105" w:type="dxa"/>
          <w:tblCellMar>
            <w:top w:w="0" w:type="dxa"/>
            <w:left w:w="0" w:type="dxa"/>
            <w:bottom w:w="0" w:type="dxa"/>
            <w:right w:w="0" w:type="dxa"/>
          </w:tblCellMar>
        </w:tblPrEx>
        <w:trPr>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tcW w:w="262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化学</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r>
      <w:tr>
        <w:tblPrEx>
          <w:tblW w:w="12192" w:type="dxa"/>
          <w:jc w:val="center"/>
          <w:tblInd w:w="105" w:type="dxa"/>
          <w:tblCellMar>
            <w:top w:w="0" w:type="dxa"/>
            <w:left w:w="0" w:type="dxa"/>
            <w:bottom w:w="0" w:type="dxa"/>
            <w:right w:w="0" w:type="dxa"/>
          </w:tblCellMar>
        </w:tblPrEx>
        <w:trPr>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tcW w:w="262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俄语</w:t>
            </w:r>
          </w:p>
        </w:tc>
        <w:tc>
          <w:tcPr>
            <w:tcW w:w="244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文学</w:t>
            </w:r>
          </w:p>
        </w:tc>
        <w:tc>
          <w:tcPr>
            <w:tcW w:w="2010"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英语或俄语</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r>
      <w:tr>
        <w:tblPrEx>
          <w:tblW w:w="12192" w:type="dxa"/>
          <w:jc w:val="center"/>
          <w:tblInd w:w="105" w:type="dxa"/>
          <w:tblCellMar>
            <w:top w:w="0" w:type="dxa"/>
            <w:left w:w="0" w:type="dxa"/>
            <w:bottom w:w="0" w:type="dxa"/>
            <w:right w:w="0" w:type="dxa"/>
          </w:tblCellMar>
        </w:tblPrEx>
        <w:trPr>
          <w:jc w:val="center"/>
        </w:trPr>
        <w:tc>
          <w:tcPr>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单学籍专业</w:t>
            </w:r>
          </w:p>
        </w:tc>
        <w:tc>
          <w:tcPr>
            <w:tcW w:w="262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电子与计算机工程</w:t>
            </w:r>
          </w:p>
        </w:tc>
        <w:tc>
          <w:tcPr>
            <w:tcW w:w="2445"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数学</w:t>
            </w:r>
          </w:p>
        </w:tc>
        <w:tc>
          <w:tcPr>
            <w:tcW w:w="2010"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英语或俄语</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r>
      <w:tr>
        <w:tblPrEx>
          <w:tblW w:w="12192" w:type="dxa"/>
          <w:jc w:val="center"/>
          <w:tblInd w:w="105" w:type="dxa"/>
          <w:tblCellMar>
            <w:top w:w="0" w:type="dxa"/>
            <w:left w:w="0" w:type="dxa"/>
            <w:bottom w:w="0" w:type="dxa"/>
            <w:right w:w="0" w:type="dxa"/>
          </w:tblCellMar>
        </w:tblPrEx>
        <w:trPr>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tcW w:w="262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智能感知工程</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r>
      <w:tr>
        <w:tblPrEx>
          <w:tblW w:w="12192" w:type="dxa"/>
          <w:jc w:val="center"/>
          <w:tblInd w:w="105" w:type="dxa"/>
          <w:tblCellMar>
            <w:top w:w="0" w:type="dxa"/>
            <w:left w:w="0" w:type="dxa"/>
            <w:bottom w:w="0" w:type="dxa"/>
            <w:right w:w="0" w:type="dxa"/>
          </w:tblCellMar>
        </w:tblPrEx>
        <w:trPr>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tcW w:w="262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金融科技</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r>
      <w:tr>
        <w:tblPrEx>
          <w:tblW w:w="12192" w:type="dxa"/>
          <w:jc w:val="center"/>
          <w:tblInd w:w="105" w:type="dxa"/>
          <w:tblCellMar>
            <w:top w:w="0" w:type="dxa"/>
            <w:left w:w="0" w:type="dxa"/>
            <w:bottom w:w="0" w:type="dxa"/>
            <w:right w:w="0" w:type="dxa"/>
          </w:tblCellMar>
        </w:tblPrEx>
        <w:trPr>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tcW w:w="262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生物科学（英语授课）</w:t>
            </w:r>
          </w:p>
        </w:tc>
        <w:tc>
          <w:tcPr>
            <w:tcW w:w="244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数学</w:t>
            </w:r>
          </w:p>
        </w:tc>
        <w:tc>
          <w:tcPr>
            <w:tcW w:w="2010"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英语</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r>
      <w:tr>
        <w:tblPrEx>
          <w:tblW w:w="12192" w:type="dxa"/>
          <w:jc w:val="center"/>
          <w:tblInd w:w="105" w:type="dxa"/>
          <w:tblCellMar>
            <w:top w:w="0" w:type="dxa"/>
            <w:left w:w="0" w:type="dxa"/>
            <w:bottom w:w="0" w:type="dxa"/>
            <w:right w:w="0" w:type="dxa"/>
          </w:tblCellMar>
        </w:tblPrEx>
        <w:trPr>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tcW w:w="2625" w:type="dxa"/>
            <w:vMerge w:val="restart"/>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国际经济与贸易</w:t>
            </w:r>
          </w:p>
        </w:tc>
        <w:tc>
          <w:tcPr>
            <w:tcW w:w="244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数学（理工类考生考试科目）</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r>
      <w:tr>
        <w:tblPrEx>
          <w:tblW w:w="12192" w:type="dxa"/>
          <w:jc w:val="center"/>
          <w:tblInd w:w="105" w:type="dxa"/>
          <w:tblCellMar>
            <w:top w:w="0" w:type="dxa"/>
            <w:left w:w="0" w:type="dxa"/>
            <w:bottom w:w="0" w:type="dxa"/>
            <w:right w:w="0" w:type="dxa"/>
          </w:tblCellMar>
        </w:tblPrEx>
        <w:trPr>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tcW w:w="2445" w:type="dxa"/>
            <w:tcBorders>
              <w:top w:val="single" w:sz="24" w:space="0" w:color="000000"/>
              <w:left w:val="single" w:sz="24" w:space="0" w:color="000000"/>
              <w:bottom w:val="single" w:sz="24" w:space="0" w:color="000000"/>
              <w:right w:val="single" w:sz="24" w:space="0" w:color="000000"/>
            </w:tcBorders>
            <w:noWrap w:val="0"/>
            <w:tcMar>
              <w:top w:w="60" w:type="dxa"/>
              <w:left w:w="75" w:type="dxa"/>
              <w:bottom w:w="60" w:type="dxa"/>
              <w:right w:w="75" w:type="dxa"/>
            </w:tcMar>
            <w:vAlign w:val="center"/>
            <w:hideMark/>
          </w:tcPr>
          <w:p>
            <w:pPr>
              <w:pBdr>
                <w:top w:val="none" w:sz="0" w:space="0" w:color="auto"/>
                <w:left w:val="none" w:sz="0" w:space="0" w:color="auto"/>
                <w:bottom w:val="none" w:sz="0" w:space="0" w:color="auto"/>
                <w:right w:val="none" w:sz="0" w:space="0" w:color="auto"/>
              </w:pBdr>
              <w:spacing w:before="0" w:after="168" w:line="504" w:lineRule="atLeast"/>
              <w:ind w:left="0" w:right="0" w:firstLine="560"/>
              <w:jc w:val="center"/>
              <w:rPr>
                <w:rFonts w:ascii="Microsoft YaHei" w:eastAsia="Microsoft YaHei" w:hAnsi="Microsoft YaHei" w:cs="Microsoft YaHei"/>
                <w:b w:val="0"/>
                <w:bCs w:val="0"/>
                <w:i w:val="0"/>
                <w:iCs w:val="0"/>
                <w:smallCaps w:val="0"/>
                <w:color w:val="000000"/>
                <w:sz w:val="28"/>
                <w:szCs w:val="28"/>
              </w:rPr>
            </w:pPr>
            <w:r>
              <w:rPr>
                <w:rFonts w:ascii="Microsoft YaHei" w:eastAsia="Microsoft YaHei" w:hAnsi="Microsoft YaHei" w:cs="Microsoft YaHei"/>
                <w:b w:val="0"/>
                <w:bCs w:val="0"/>
                <w:i w:val="0"/>
                <w:iCs w:val="0"/>
                <w:smallCaps w:val="0"/>
                <w:color w:val="000000"/>
                <w:sz w:val="28"/>
                <w:szCs w:val="28"/>
              </w:rPr>
              <w:t>文学（文史类考生考科试目）</w:t>
            </w: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8"/>
                <w:szCs w:val="28"/>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4.特别注意事项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（1）学生填报专业时请注意，学校测试科目不同的专业不可兼报。国际经济与贸易及生物科学（英语授课）专业学校测试外语科目为英语，非英语语种考生请慎重报考。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（2）专业基础能力测试和外语测试满分各为100分，两科目成绩需分别达到单科合格标准，学校测试成绩方为有效。计算综合成绩时，取两科目平均成绩进行折算。测试样题将在学校本科招生信息网另行公布。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（3）2023年6月下旬，发布考生学校测试成绩和学校测试入围考生名单。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六、综合评价成绩计算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1.高考录取时综合成绩计算方法：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综合成绩=高考成绩×60%+学校测试成绩×750/100×30%+高中学业水平考试成绩×750/100×10%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2.学校测试成绩计算方法：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学校测试成绩=专业基础能力测试成绩×50%+外语测试成绩×50%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3.高中学业水平考试成绩折算方法：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高中学业水平考试成绩=各科目折算成绩总和÷科目数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中学业水平考试各科成绩均需达到C及以上。学校根据各招生省（自治区）提供的有效的高中学业水平考试各科成绩，折算以下科目成绩：语文、数学、外语、物理、化学、生物、思想政治、历史和地理。高中学业水平考试满分按100分折算，各科成绩按A=100分、B=90分、C=80分折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七、收费标准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1.学费：人民币40000元/生·学年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2.住宿费：人民币1600元/生·学年（4人间）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1.学校在招生过程中，做到招生方案公开、选拔方法公平、录取结果公示。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2.学校测试入围考生名单、录取考生名单及相关信息，将按照教育部阳光招生的有关要求，在学校招生网站等公示。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3.综合评价录取全程接受纪检监察部门监督，并接受社会监督。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4.监督电话：0755-28323059，邮箱：xfsl@smbu.edu.cn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九、咨询及联系方式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本简章由深圳北理莫斯科大学招生办公室负责解释。如教育部相关政策有变化，以教育部最新政策为准。请考生注意浏览我校本科招生信息网，我校将在该网站发布相关通知和注意事项。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咨询电话：0755-28323398，28323360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咨询时间：工作日14:00-17:00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电子邮箱：admission@smbu.edu.cn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本科招生信息网：https://admission.smbu.edu.cn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微信公众号：深圳北理莫斯科大学招生办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学校地址：广东省深圳市龙岗区国际大学园路1号，邮编：518172</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深圳北理莫斯科大学招生办公室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2023年3月12日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4" w:history="1">
        <w:r>
          <w:rPr>
            <w:rFonts w:ascii="Microsoft YaHei" w:eastAsia="Microsoft YaHei" w:hAnsi="Microsoft YaHei" w:cs="Microsoft YaHei"/>
            <w:color w:val="2440B3"/>
            <w:u w:val="single" w:color="2440B3"/>
          </w:rPr>
          <w:t>莫斯科大学简介</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年传统高考省市综评招生简章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年传统高考省市综评招生简章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深圳信息职业技术学院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年浙江省三位一体综合评价招生简章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年广东省综合评价招生简章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年江苏省综合评价招生简章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年福建省综合评价招生简章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0/0529/16553.html" TargetMode="External" /><Relationship Id="rId11" Type="http://schemas.openxmlformats.org/officeDocument/2006/relationships/hyperlink" Target="http://www.gk114.com/a/gxzs/zszc/guangdong/2020/0529/16552.html" TargetMode="External" /><Relationship Id="rId12" Type="http://schemas.openxmlformats.org/officeDocument/2006/relationships/hyperlink" Target="http://www.gk114.com/a/gxzs/zszc/guangdong/2020/0529/16551.html" TargetMode="External" /><Relationship Id="rId13" Type="http://schemas.openxmlformats.org/officeDocument/2006/relationships/hyperlink" Target="http://www.gk114.com/a/gxzs/zszc/guangdong/2020/0529/16550.html" TargetMode="External" /><Relationship Id="rId14" Type="http://schemas.openxmlformats.org/officeDocument/2006/relationships/hyperlink" Target="http://www.gk114.com/a/gxzs/zszc/guangdong/2020/0529/16549.html" TargetMode="External" /><Relationship Id="rId15" Type="http://schemas.openxmlformats.org/officeDocument/2006/relationships/hyperlink" Target="http://www.gk114.com/a/gxzs/zszc/guangdong/2020/0529/16548.html" TargetMode="External" /><Relationship Id="rId16" Type="http://schemas.openxmlformats.org/officeDocument/2006/relationships/hyperlink" Target="http://www.gk114.com/a/gxzs/zszc/guangdong/2021/0608/19791.html" TargetMode="External" /><Relationship Id="rId17" Type="http://schemas.openxmlformats.org/officeDocument/2006/relationships/hyperlink" Target="http://www.gk114.com/a/gxzs/zszc/guangdong/2021/0604/1971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admission.smbu.edu.cn/mskdx.docx" TargetMode="External" /><Relationship Id="rId5" Type="http://schemas.openxmlformats.org/officeDocument/2006/relationships/hyperlink" Target="http://www.gk114.com/a/gxzs/zszc/guangdong/2022/0605/22697.html" TargetMode="External" /><Relationship Id="rId6" Type="http://schemas.openxmlformats.org/officeDocument/2006/relationships/hyperlink" Target="http://www.gk114.com/a/gxzs/zszc/guangdong/2023/0322/25867.html" TargetMode="External" /><Relationship Id="rId7" Type="http://schemas.openxmlformats.org/officeDocument/2006/relationships/hyperlink" Target="http://www.gk114.com/a/gxzs/zszc/guangdong/" TargetMode="External" /><Relationship Id="rId8" Type="http://schemas.openxmlformats.org/officeDocument/2006/relationships/hyperlink" Target="http://www.gk114.com/a/gxzs/zszc/guangdong/2021/0311/18996.html" TargetMode="External" /><Relationship Id="rId9" Type="http://schemas.openxmlformats.org/officeDocument/2006/relationships/hyperlink" Target="http://www.gk114.com/a/gxzs/zszc/guangdong/2020/0529/165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