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渤海大学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1．学校全称：渤海大学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下专业在渤海大学松山校区办学（辽宁省锦州市松山新区科技路19号）：法学、化学（师范）、应用化学、环境工程、新能源材料与器件、教育技术学（师范）、学前教育（师范）、小学教育（师范）、历史学（师范）、文物与博物馆学、思想政治教育（师范）、美术学（师范）、绘画、环境设计、食品科学与工程、食品科学与工程（中外合作办学项目）、食品质量与安全、食品营养与健康、数学与应用数学（师范）、信息与计算科学、体育教育（师范）、社会体育指导与管理、英语（师范）、法语、日语、汉语言文学（师范）、汉语国际教育（师范）、物理学（师范）、电子信息工程、微电子科学与工程、通信工程、新闻学、广播电视编导、播音与主持艺术、音乐表演、音乐学（师范）、旅游管理、旅游管理（专升本）。</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下专业在渤海大学滨海校区办学（辽宁省锦州市经济技术开发区（滨海新区）金山大街20号）：电气工程及其自动化、电气工程及其自动化（国际本科学术互认课程项目）、自动化、智能装备与系统、计算机科学与技术、软件工程、软件工程（专升本）、物联网工程、智能科学与技术、数据科学与大数据技术、工商管理、工商管理（国际本科学术互认课程项目）、市场营销、物流管理、航海技术、轮机工程、船舶与海洋工程、经济学、金融学、金融学（国际本科学术互认课程项目）、会计学、会计学（国际本科学术互认课程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3．办学类型：普通高等学校（公办）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130.3万平方米（约合1953.4亩），生均教学行政用房面积12.8平方米，生均宿舍面积9.2平方米，生师比20.1：1；专任教师1227人，其中具有研究生学位教师占专任教师的比例为86.1%；具有高级职务教师占专任教师的比例53.3%；教学科研仪器设备总值28458万元，生均教学科研仪器设备值10732.4元；图书299.2万册，生均图书112.9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住宿条件：新生宿舍标准为（4、6、8）间，入学后采取学校集中统一分配。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二、招生计划特别说明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方法：分省计划主要面向中西部地区安排招生名额，分专业计划根据学校办学条件、就业情况及《渤海大学学科专业结构优化调整方案》《渤海大学十四五发展规划》等文件精神，经学校招生工作领导小组研究确定各学科门类的培养规模，主要面向经济社会发展急需的一流特色学科和重点支持的学科专业。无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（1）英语（师范）、日语、法语专业只招英语考生。英语（师范）专业要求英语105分（含）以上，英语成绩按英语单科成绩满分为150分计算，非150分的按比例进行折算。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航海技术、轮机工程、会计学（国际本科学术互认课程项目）、金融学（国际本科学术互认课程项目）、电气工程及其自动化（国际本科学术互认课程项目）、工商管理（国际本科学术互认课程项目）、食品科学与工程（中外合作办学项目）根据行业及专业教学要求，入校后外语课程只安排英语教学，非英语语种考生不宜就读，因语种问题无法完成学业，学校不予调整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航海技术、轮机工程专业，由于工作性质特殊，不适宜女生报考；其它专业无男女比例限制。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5．高考综合改革试点省（市）设置的招生专业，对选考科目的要求、综合素质评价档案的使用办法，以当地教育行政部门（或招生考试部门）及我校官方网站公布为准。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三、专业设置说明</w:t>
      </w:r>
    </w:p>
    <w:tbl>
      <w:tblPr>
        <w:tblW w:w="5250" w:type="pct"/>
        <w:tblInd w:w="210" w:type="dxa"/>
        <w:tblCellMar>
          <w:top w:w="15" w:type="dxa"/>
          <w:left w:w="15" w:type="dxa"/>
          <w:bottom w:w="15" w:type="dxa"/>
          <w:right w:w="15" w:type="dxa"/>
        </w:tblCellMar>
      </w:tblPr>
      <w:tblGrid>
        <w:gridCol w:w="960"/>
        <w:gridCol w:w="1510"/>
        <w:gridCol w:w="2880"/>
        <w:gridCol w:w="861"/>
        <w:gridCol w:w="960"/>
        <w:gridCol w:w="3120"/>
        <w:gridCol w:w="3360"/>
        <w:gridCol w:w="1200"/>
        <w:gridCol w:w="2246"/>
        <w:gridCol w:w="3360"/>
      </w:tblGrid>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代码</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制</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学习</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年限</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r>
              <w:rPr>
                <w:rFonts w:ascii="Microsoft YaHei" w:eastAsia="Microsoft YaHei" w:hAnsi="Microsoft YaHei" w:cs="Microsoft YaHei"/>
                <w:b/>
                <w:bCs/>
                <w:i w:val="0"/>
                <w:iCs w:val="0"/>
                <w:smallCaps w:val="0"/>
                <w:color w:val="000000"/>
              </w:rPr>
              <w:t>1</w:t>
            </w:r>
            <w:r>
              <w:rPr>
                <w:rFonts w:ascii="Microsoft YaHei" w:eastAsia="Microsoft YaHei" w:hAnsi="Microsoft YaHei" w:cs="Microsoft YaHei"/>
                <w:b/>
                <w:bCs/>
                <w:i w:val="0"/>
                <w:iCs w:val="0"/>
                <w:smallCaps w:val="0"/>
                <w:color w:val="000000"/>
              </w:rPr>
              <w:t>（非高考综合改革省份）</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w:t>
            </w:r>
            <w:r>
              <w:rPr>
                <w:rFonts w:ascii="Microsoft YaHei" w:eastAsia="Microsoft YaHei" w:hAnsi="Microsoft YaHei" w:cs="Microsoft YaHei"/>
                <w:b/>
                <w:bCs/>
                <w:i w:val="0"/>
                <w:iCs w:val="0"/>
                <w:smallCaps w:val="0"/>
                <w:color w:val="000000"/>
              </w:rPr>
              <w:t>2</w:t>
            </w:r>
            <w:r>
              <w:rPr>
                <w:rFonts w:ascii="Microsoft YaHei" w:eastAsia="Microsoft YaHei" w:hAnsi="Microsoft YaHei" w:cs="Microsoft YaHei"/>
                <w:b/>
                <w:bCs/>
                <w:i w:val="0"/>
                <w:iCs w:val="0"/>
                <w:smallCaps w:val="0"/>
                <w:color w:val="000000"/>
              </w:rPr>
              <w:t>（采用</w:t>
            </w:r>
            <w:r>
              <w:rPr>
                <w:rFonts w:ascii="Microsoft YaHei" w:eastAsia="Microsoft YaHei" w:hAnsi="Microsoft YaHei" w:cs="Microsoft YaHei"/>
                <w:b/>
                <w:bCs/>
                <w:i w:val="0"/>
                <w:iCs w:val="0"/>
                <w:smallCaps w:val="0"/>
                <w:color w:val="000000"/>
              </w:rPr>
              <w:t>3+1+2</w:t>
            </w:r>
            <w:r>
              <w:rPr>
                <w:rFonts w:ascii="Microsoft YaHei" w:eastAsia="Microsoft YaHei" w:hAnsi="Microsoft YaHei" w:cs="Microsoft YaHei"/>
                <w:b/>
                <w:bCs/>
                <w:i w:val="0"/>
                <w:iCs w:val="0"/>
                <w:smallCaps w:val="0"/>
                <w:color w:val="000000"/>
              </w:rPr>
              <w:t>模式的高考综合改革省份）</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学位</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门类</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  </w:t>
            </w:r>
            <w:r>
              <w:rPr>
                <w:rFonts w:ascii="Microsoft YaHei" w:eastAsia="Microsoft YaHei" w:hAnsi="Microsoft YaHei" w:cs="Microsoft YaHei"/>
                <w:b/>
                <w:bCs/>
                <w:i w:val="0"/>
                <w:iCs w:val="0"/>
                <w:smallCaps w:val="0"/>
                <w:color w:val="000000"/>
              </w:rPr>
              <w:t>（元</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bCs/>
                <w:i w:val="0"/>
                <w:iCs w:val="0"/>
                <w:smallCaps w:val="0"/>
                <w:color w:val="000000"/>
              </w:rPr>
              <w:t>年</w:t>
            </w:r>
            <w:r>
              <w:rPr>
                <w:rFonts w:ascii="Microsoft YaHei" w:eastAsia="Microsoft YaHei" w:hAnsi="Microsoft YaHei" w:cs="Microsoft YaHei"/>
                <w:b/>
                <w:bCs/>
                <w:i w:val="0"/>
                <w:iCs w:val="0"/>
                <w:smallCaps w:val="0"/>
                <w:color w:val="000000"/>
              </w:rPr>
              <w:t>/</w:t>
            </w:r>
            <w:r>
              <w:rPr>
                <w:rFonts w:ascii="Microsoft YaHei" w:eastAsia="Microsoft YaHei" w:hAnsi="Microsoft YaHei" w:cs="Microsoft YaHei"/>
                <w:b/>
                <w:bCs/>
                <w:i w:val="0"/>
                <w:iCs w:val="0"/>
                <w:smallCaps w:val="0"/>
                <w:color w:val="000000"/>
              </w:rPr>
              <w:t>生）</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030101K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030503</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040104</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040106</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040107</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040203</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社会体育指导与管理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050103</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汉语国际教育</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050204</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法语</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050207</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060104</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文物与博物馆学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070201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080414T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新能源材料与器件</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080704</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微电子科学与工程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080806T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智能装备与系统</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前二年4800/年</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  后二年16000/年</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产业学院</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080905</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080907T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智能科学与技术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产业学院</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产业学院</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081803K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航海技术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081804K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轮机工程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081901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船舶与海洋工程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082701H</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食品科学与工程</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作办学项目</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食品质量与安全</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082710T</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食品营养与健康</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国际本科学术互认课程项目</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120601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专升本</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130401</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美术学</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130402</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绘画</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5250" w:type="pct"/>
          <w:tblInd w:w="210" w:type="dxa"/>
          <w:tblCellMar>
            <w:top w:w="15" w:type="dxa"/>
            <w:left w:w="15" w:type="dxa"/>
            <w:bottom w:w="15" w:type="dxa"/>
            <w:right w:w="15" w:type="dxa"/>
          </w:tblCellMar>
        </w:tblPrEx>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7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4年</w:t>
            </w:r>
          </w:p>
        </w:tc>
        <w:tc>
          <w:tcPr>
            <w:tcW w:w="3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3-6年</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6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5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6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注：学费以物价部门最后审核通过为准。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普通高校本科学生学习期满，成绩合格颁发渤海大学普通高等学校本科毕业证书；达到渤海大学学位授予标准的颁发渤海大学学士学位证书。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按照省物价部门批准的标准向学生收费。各招生专业收取学费标准详见“三、专业设置说明”表，住宿费标准为800-1200元/年/生。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学生因故退学的，根据《教育部、国家发展改革委、财政部关于进一步规范高校教育收费管理若干规定的通知》教财【2006】76号文件的要求，学校根据学生在校实际学习时间，按月计退剩余的学费、宿费。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可以申请国家奖学金，每学年8000元/人；国家励志奖学金，每学年5000元/人；国家助学金，一等每学年4400元/人，二等每学年2750元/人；辽宁省政府奖学金，每学年8000元/人；学校另设有校长奖学金，每年10000元/人；渤海大学奖学金，一等每学年1000元/人，二等每学年700元/人，三等每学年500元/人；渤海大学本科生助学金，每年1000元/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家庭经济困难学生，可在当地申请国家生源地助学贷款（最高12000元/年）；学校通过绿色通道、勤工助学、学费减免和困难补助等多种资助形式帮助其完成学业。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教育部批准的渤海大学与波兰华沙生命科学大学合作举办的食品科学与工程专业本科教育中外合作办学项目。本项目由波兰华沙生命科学大学和渤海大学具有海外科研访学经历的优秀教师进行中英文联合授课，培养过程中，引入外方优质教育资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2．项目采取“4+0”、中英文联合授课模式，在渤海大学完成全部课程且修满规定学分，成绩合格，符合毕业及授予学位条件，可获渤海大学普通高等学校毕业证书、学士学位证书。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生可自愿申请办理赴国外学习，需在渤海大学完成前2年学习，学生在结束国内阶段学习后，符合申请签证条件并经考试合格者，到波兰继续后2年学习，修满双方规定学分，符合双方毕业及授予学位条件，可获得渤海大学普通高等学校毕业证书、学士学位证书，同时可获得波兰华沙生命科学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4．完成学士阶段学习，获得学士学位后，符合波兰华沙生命科学大学的录取标准，可免试升入波兰华沙生命科学大学的硕士阶段学习。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实行平行志愿投档的批次，辽宁省投档比例100%，外省按文件规定执行；实行顺序志愿投档的批次，投档比例按照相关规定执行，最多不超过120%。艺术、体育类专业按照所在省文件规定执行。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参照中华人民共和国国家标准《船员健康检查要求》（GB 30035-2021），报考航海类专业的考生身体条件须符合以下特殊录取要求：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（1）航海技术专业：要求辨色力正常（无色盲无色弱），无复视；身高1.60米及以上；双眼裸视力均能达到4.7（0.5）及以上，或双眼裸视力均能达到4.0（0.1）及以上且矫正视力均能达到4.8（0.6）及以上。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（2）轮机工程专业：要求辨色力正常（无色盲无色弱），无复视；身高1.55米及以上；双眼裸视力均能达到4.6（0.4）及以上，或双眼裸视力均能达到4.0（0.1）及以上且矫正视力均能达到4.6（0.4）及以上。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其他要求参照《船员健康检查要求》执行。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航海类专业学生若毕业从事海船船员工作，工作前须符合《船员健康检查要求》（GB 30035-2021）相关要求，航海技术专业视力要求为：双眼裸视力均能达到4.7（0.5）及以上，或双眼裸视力均能达到4.0（0.1）及以上且矫正视力均能达到4.9（0.8）及以上；轮机工程视力要求与录取要求一致。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新生入学后，我校将对新生进行身体复查，对不符合标准和体检作弊的学生依据文件相关规定处理。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航海技术、轮机工程专业在本科提前批招生，其它普通类专业在本科批招生，外省各专业招生批次按各省级招生考试机构统一规定执行。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及各省级招生考试机构有关文件精神，在已实行平行志愿投档的省份，我校实行平行志愿投档录取方式；在未实行平行志愿投档的省份，按院校志愿顺序投档，当第一志愿投档考生未能完成招生计划时，依次接收第二、第三等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美术学（师范）、绘画、环境设计、音乐学（师范）、音乐表演、播音与主持艺术专业，辽宁省在艺术类本科批第一阶段录取，实行平行志愿投档录取方式。广播电视编导专业，辽宁省在普通类本科批录取，实行平行志愿投档录取方式。外省艺术类各专业的录取批次、投档方式，均以各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体育类社会体育指导与管理、体育教育（师范）专业，辽宁省在体育类本科批录取，实行平行志愿投档录取方式。体育类无外省招生计划。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改革省份，各专业对选考科目的要求以各省教育行政部门（或招生考试部门）及学校官方网站公告为准。对于采用“3+1+2”选考方式的新高考改革省份，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执行省招考委关于高考加分的相关规定。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在综合考查考生德、智、体等水平的基础上，对于进档考生，我校按“分数优先”的原则，优先满足高分考生的专业志愿。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对于内蒙古自治区的进档考生，按照内蒙古自治区教育招生考试中心的要求，实行“招生计划1:1范围内按专业志愿排队录取”的录取原则，即进档后优先录取第一专业志愿考生，再依次录取其他专业志愿考生。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对于投档成绩相同的考生，首先按生源省份招考办文件的要求录取。若生源省份招考办文件未明确要求的，我校规定如下：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普通类投档成绩相同的考生依次参考语文、数学、外语单科成绩；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体育类综合分相同的考生参考专业课成绩；专业课成绩相同的，依次参照语文、数学、外语单科成绩。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艺术类综合分相同的考生参照专业课成绩；专业课成绩相同的，依次参照语文、数学、外语单科成绩。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若考生排序仍相同，将由学校招生工作领导小组依据考生综合素质评价档案或相关科目成绩等因素进行择优录取。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少数民族预科班专业的录取按省招办的相关规定执行。少数民族预科生培养为“1+4”模式，预科阶段为期一年。一年后，经考核合格者，按录取专业转入我校本科学习，本科阶段学制为4年。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6．艺术类、体育类专业招生录取办法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参加辽宁省招考办组织的体育专业考试且成绩合格，文化课考试成绩在辽宁省划定的体育类本科文化课成绩控制线以上，按综合成绩（综合成绩=文化课成绩（含高考加分）/7.5+专业课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报考我校艺术类专业，文化课考试成绩须达到各省划定的艺术类本科文化课录取控制分数线，专业课属本省统考（校际联考）范围内的，须参加考生所在省本科专业省统考（校际联考）并成绩合格。各省具体说明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辽宁省：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美术类、音乐类、播音与主持艺术专业使用辽宁省组织的艺术类专业省统考成绩，广播电视编导专业辽宁省无省统考要求，综合分计算方法如下：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①美术学（师范）、绘画、环境设计专业综合分=文化课成绩（含高考加分）/2+专业课成绩；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②音乐学（师范）专业综合分=文化课成绩（含高考加分）/文化课总分&amp;times;100&amp;times;60%+专业课成绩/专业课总分&amp;times;100&amp;times;40%；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③音乐表演专业按“专门化”成绩投档，综合分即“专门化”成绩；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④播音与主持艺术专业综合分=文化课成绩（含高考加分）/文化课总分&amp;times;100&amp;times;50%+专业课成绩/专业课总分&amp;times;100&amp;times;50%；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⑤广播电视编导专业按文化课成绩(含高考加分)投档。辽宁省在普通类本科批录取，实行平行志愿投档录取方式。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2024年艺术类专业招生考试办法将按辽宁省发布相关文件执行。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美术类、音乐类专业使用河北省组织的艺术类专业省统考成绩；播音与主持艺术专业使用河北省组织的艺术类专业校际联考成绩。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艺术类招生专业综合分计算方式按照河北省招生考试机构统一规定执行。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山东省：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美术类、音乐类、播音与主持艺术专业使用山东省组织的艺术类专业省统考成绩。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艺术类招生专业综合分计算方式按照山东省招生考试机构统一规定执行。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说明：音乐学（师范）专业辽宁省招收美声钢琴、民声钢琴考生、流行钢琴、美声(民声)其它器乐、流行(其它器乐)考生，外省以考生所在地省级招生考试机构公布为准。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表演专业辽宁省声乐招考方向招收美声、民声、流行考生；器乐招考方向招收键盘演奏（钢琴）、西洋管乐（古典萨克斯）考生。音乐表演专业河北省声乐招考方向招收美声、民声、流行考生；器乐招考方向招收键盘演奏（钢琴）、西洋管乐（长笛）考生。最终以考生所在地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7．联系电话、网址等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招生电话：0416-3400131、0416-3400132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hyperlink r:id="rId4" w:history="1">
        <w:r>
          <w:rPr>
            <w:rFonts w:ascii="Microsoft YaHei" w:eastAsia="Microsoft YaHei" w:hAnsi="Microsoft YaHei" w:cs="Microsoft YaHei"/>
            <w:color w:val="333333"/>
            <w:u w:val="single" w:color="333333"/>
          </w:rPr>
          <w:t>https://zsxx.bhu.edu.cn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招生微信公众号：渤海大学招生咨询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本章程内容若有与上级相关政策、规定不符之处，以上级政策、规定为准。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81.html" TargetMode="External" /><Relationship Id="rId11" Type="http://schemas.openxmlformats.org/officeDocument/2006/relationships/hyperlink" Target="http://www.gk114.com/a/gxzs/zszc/liaoning/2023/0611/28280.html" TargetMode="External" /><Relationship Id="rId12" Type="http://schemas.openxmlformats.org/officeDocument/2006/relationships/hyperlink" Target="http://www.gk114.com/a/gxzs/zszc/liaoning/2023/0611/28279.html" TargetMode="External" /><Relationship Id="rId13" Type="http://schemas.openxmlformats.org/officeDocument/2006/relationships/hyperlink" Target="http://www.gk114.com/a/gxzs/zszc/liaoning/2023/0611/28278.html" TargetMode="External" /><Relationship Id="rId14" Type="http://schemas.openxmlformats.org/officeDocument/2006/relationships/hyperlink" Target="http://www.gk114.com/a/gxzs/zszc/liaoning/2023/0516/27688.html" TargetMode="External" /><Relationship Id="rId15" Type="http://schemas.openxmlformats.org/officeDocument/2006/relationships/hyperlink" Target="http://www.gk114.com/a/gxzs/zszc/liaoning/2023/0516/27687.html" TargetMode="External" /><Relationship Id="rId16" Type="http://schemas.openxmlformats.org/officeDocument/2006/relationships/hyperlink" Target="http://www.gk114.com/a/gxzs/zszc/liaoning/2022/0615/22779.html" TargetMode="External" /><Relationship Id="rId17" Type="http://schemas.openxmlformats.org/officeDocument/2006/relationships/hyperlink" Target="http://www.gk114.com/a/gxzs/zszc/liaoning/2021/0606/1977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zsxx.bhu.edu.cn/" TargetMode="External" /><Relationship Id="rId5" Type="http://schemas.openxmlformats.org/officeDocument/2006/relationships/hyperlink" Target="http://www.gk114.com/a/gxzs/zszc/liaoning/2023/0611/28284.html" TargetMode="External" /><Relationship Id="rId6" Type="http://schemas.openxmlformats.org/officeDocument/2006/relationships/hyperlink" Target="http://www.gk114.com/a/gxzs/zszc/liaoning/2023/0611/28286.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3/0611/28283.html" TargetMode="External" /><Relationship Id="rId9" Type="http://schemas.openxmlformats.org/officeDocument/2006/relationships/hyperlink" Target="http://www.gk114.com/a/gxzs/zszc/liaoning/2023/0611/282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