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温州医科大学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年全日制普通本专科招生章程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确保招生工作顺利进行，根据《中华人民共和国教育法》、《中华人民共和国高等教育法》、《温州医科大学章程》和教育主管部门有关政策和规定，结合学校招生工作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2019</w:t>
      </w:r>
      <w:r>
        <w:rPr>
          <w:rFonts w:ascii="SimSun" w:eastAsia="SimSun" w:hAnsi="SimSun" w:cs="SimSun"/>
        </w:rPr>
        <w:t>年温州医科大学全日制普通本专科招生工作。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我校本科招生工作实施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，坚持</w:t>
      </w:r>
      <w:r>
        <w:rPr>
          <w:rFonts w:ascii="Times New Roman" w:eastAsia="Times New Roman" w:hAnsi="Times New Roman" w:cs="Times New Roman"/>
        </w:rPr>
        <w:t>“</w:t>
      </w:r>
      <w:r>
        <w:rPr>
          <w:rFonts w:ascii="SimSun" w:eastAsia="SimSun" w:hAnsi="SimSun" w:cs="SimSun"/>
        </w:rPr>
        <w:t>公平竞争、公正选拔、公开透明、全面考核、综合评价、择优录取</w:t>
      </w:r>
      <w:r>
        <w:rPr>
          <w:rFonts w:ascii="Times New Roman" w:eastAsia="Times New Roman" w:hAnsi="Times New Roman" w:cs="Times New Roman"/>
        </w:rPr>
        <w:t>”</w:t>
      </w:r>
      <w:r>
        <w:rPr>
          <w:rFonts w:ascii="SimSun" w:eastAsia="SimSun" w:hAnsi="SimSun" w:cs="SimSun"/>
        </w:rPr>
        <w:t>的原则，选拔和录取适合我校人才培养特点的优秀学生。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学校招生工作接受学校纪检监察部门、考生、家长、新闻媒体以及社会各界的监督。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学校全称：温州医科大学。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10343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办学层次和类型：学校为公办、全日制高等学校，具有学士、硕士、博士学位授予权。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颁发毕业证书及学位证书的学校名称：温州医科大学。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办学地点：茶山校区位于温州市茶山高教园区内，学院路校区位于温州市鹿城区学院西路</w:t>
      </w:r>
      <w:r>
        <w:rPr>
          <w:rFonts w:ascii="Times New Roman" w:eastAsia="Times New Roman" w:hAnsi="Times New Roman" w:cs="Times New Roman"/>
        </w:rPr>
        <w:t>82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学校简介：学校经教育部批准具有高等学历教育招生资格，是一所以医学学科为重点，多学科协调发展的应用研究型大学。</w:t>
      </w:r>
      <w:r>
        <w:rPr>
          <w:rFonts w:ascii="Times New Roman" w:eastAsia="Times New Roman" w:hAnsi="Times New Roman" w:cs="Times New Roman"/>
        </w:rPr>
        <w:t>1958</w:t>
      </w:r>
      <w:r>
        <w:rPr>
          <w:rFonts w:ascii="SimSun" w:eastAsia="SimSun" w:hAnsi="SimSun" w:cs="SimSun"/>
        </w:rPr>
        <w:t>年由浙江医学院从杭州分迁到温州，初名</w:t>
      </w:r>
      <w:r>
        <w:rPr>
          <w:rFonts w:ascii="Times New Roman" w:eastAsia="Times New Roman" w:hAnsi="Times New Roman" w:cs="Times New Roman"/>
        </w:rPr>
        <w:t>“</w:t>
      </w:r>
      <w:r>
        <w:rPr>
          <w:rFonts w:ascii="SimSun" w:eastAsia="SimSun" w:hAnsi="SimSun" w:cs="SimSun"/>
        </w:rPr>
        <w:t>浙江第二医学院</w:t>
      </w:r>
      <w:r>
        <w:rPr>
          <w:rFonts w:ascii="Times New Roman" w:eastAsia="Times New Roman" w:hAnsi="Times New Roman" w:cs="Times New Roman"/>
        </w:rPr>
        <w:t>”</w:t>
      </w:r>
      <w:r>
        <w:rPr>
          <w:rFonts w:ascii="SimSun" w:eastAsia="SimSun" w:hAnsi="SimSun" w:cs="SimSun"/>
        </w:rPr>
        <w:t>，后更名为</w:t>
      </w:r>
      <w:r>
        <w:rPr>
          <w:rFonts w:ascii="Times New Roman" w:eastAsia="Times New Roman" w:hAnsi="Times New Roman" w:cs="Times New Roman"/>
        </w:rPr>
        <w:t>“</w:t>
      </w:r>
      <w:r>
        <w:rPr>
          <w:rFonts w:ascii="SimSun" w:eastAsia="SimSun" w:hAnsi="SimSun" w:cs="SimSun"/>
        </w:rPr>
        <w:t>温州医学院</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2013</w:t>
      </w:r>
      <w:r>
        <w:rPr>
          <w:rFonts w:ascii="SimSun" w:eastAsia="SimSun" w:hAnsi="SimSun" w:cs="SimSun"/>
        </w:rPr>
        <w:t>年更名为</w:t>
      </w:r>
      <w:r>
        <w:rPr>
          <w:rFonts w:ascii="Times New Roman" w:eastAsia="Times New Roman" w:hAnsi="Times New Roman" w:cs="Times New Roman"/>
        </w:rPr>
        <w:t>“</w:t>
      </w:r>
      <w:r>
        <w:rPr>
          <w:rFonts w:ascii="SimSun" w:eastAsia="SimSun" w:hAnsi="SimSun" w:cs="SimSun"/>
        </w:rPr>
        <w:t>温州医科大学</w:t>
      </w:r>
      <w:r>
        <w:rPr>
          <w:rFonts w:ascii="Times New Roman" w:eastAsia="Times New Roman" w:hAnsi="Times New Roman" w:cs="Times New Roman"/>
        </w:rPr>
        <w:t>”</w:t>
      </w:r>
      <w:r>
        <w:rPr>
          <w:rFonts w:ascii="SimSun" w:eastAsia="SimSun" w:hAnsi="SimSun" w:cs="SimSun"/>
        </w:rPr>
        <w:t>，是浙江省政府、国家卫生健康委员会和教育部共建高校，浙江省重点建设高校。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学校成立由校领导为负责人，教务处、纪检监察等有关部门负责人组成的本专科招生工作领导小组，负责全日制普通本专科招生工作，研究、制订学校招生政策，并对重大事宜做出决策。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学校招生办公室是组织和实施招生及其相关工作的常设机构，具体负责普通本专科招生的日常事务。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学校纪委监察部门对学校招生工作实施全程监督，确保公开、公平、公正。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学校在各省（自治区、直辖市）的招生计划以各省（自治区、直辖市）招生主管机构公布数据为准。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对浙江省的考生按浙江省新高考录取政策执行，考生所填报的专业（类）志愿须符合浙江省招生主管部门公布的我校选考科目的要求；调档比例根据招生主管部门的要求确定为</w:t>
      </w:r>
      <w:r>
        <w:rPr>
          <w:rFonts w:ascii="Times New Roman" w:eastAsia="Times New Roman" w:hAnsi="Times New Roman" w:cs="Times New Roman"/>
        </w:rPr>
        <w:t>1:1</w:t>
      </w:r>
      <w:r>
        <w:rPr>
          <w:rFonts w:ascii="SimSun" w:eastAsia="SimSun" w:hAnsi="SimSun" w:cs="SimSun"/>
        </w:rPr>
        <w:t>；对进档的考生，按考生成绩从高分到低分依次录取；若出现考生总分相同时则按浙江省招生主管部门有关规定执行。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w:t>
      </w:r>
      <w:r>
        <w:rPr>
          <w:rFonts w:ascii="SimSun" w:eastAsia="SimSun" w:hAnsi="SimSun" w:cs="SimSun"/>
        </w:rPr>
        <w:t>对上海市的考生按新高考录取政策执行，考生所填报的专业（类）志愿须符合上海市招生主管部门公布的我校选考科目的要求；调档比例根据招生主管部门的要求确定为</w:t>
      </w:r>
      <w:r>
        <w:rPr>
          <w:rFonts w:ascii="Times New Roman" w:eastAsia="Times New Roman" w:hAnsi="Times New Roman" w:cs="Times New Roman"/>
        </w:rPr>
        <w:t>1:1</w:t>
      </w:r>
      <w:r>
        <w:rPr>
          <w:rFonts w:ascii="SimSun" w:eastAsia="SimSun" w:hAnsi="SimSun" w:cs="SimSun"/>
        </w:rPr>
        <w:t>。对进档的考生，专业组内志愿间不设分数级差，根据</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按投档成绩从高分到低分依次录取；若出现考生总分相同时则按当地招生主管部门有关规定执行；当考生所填专业均已录满时，对服从专业调剂者，在考生所投档的专业组内进行择优调剂；对不服从专业调剂者，予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w:t>
      </w:r>
      <w:r>
        <w:rPr>
          <w:rFonts w:ascii="SimSun" w:eastAsia="SimSun" w:hAnsi="SimSun" w:cs="SimSun"/>
        </w:rPr>
        <w:t>对全国其余省份的考生，学校严格执行考生所在省（自治区、直辖市）招生主管部门关于投档的有关规定。按照平行志愿投档的批次，调档比例原则上控制在当批次招生计划数的</w:t>
      </w:r>
      <w:r>
        <w:rPr>
          <w:rFonts w:ascii="Times New Roman" w:eastAsia="Times New Roman" w:hAnsi="Times New Roman" w:cs="Times New Roman"/>
        </w:rPr>
        <w:t>1:1.05</w:t>
      </w:r>
      <w:r>
        <w:rPr>
          <w:rFonts w:ascii="SimSun" w:eastAsia="SimSun" w:hAnsi="SimSun" w:cs="SimSun"/>
        </w:rPr>
        <w:t>以内。对进档的考生，学校专业志愿间不设分数级差，根据</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按投档成绩从高分到低分依次录取；若出现考生总分相同时则按考生所在省（自治区、直辖市）招生主管部门有关规定执行；当考生填报的专业志愿都未被录取时，对服从专业调剂者，择优调剂到未录满专业；对不服从专业调剂者，予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江苏省考生录取必备条件以江苏省教育考试院公布的为准，按照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的规则择优录取。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内蒙古自治区考生按照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范围内按照专业志愿排队录取</w:t>
      </w:r>
      <w:r>
        <w:rPr>
          <w:rFonts w:ascii="Times New Roman" w:eastAsia="Times New Roman" w:hAnsi="Times New Roman" w:cs="Times New Roman"/>
        </w:rPr>
        <w:t>”</w:t>
      </w:r>
      <w:r>
        <w:rPr>
          <w:rFonts w:ascii="SimSun" w:eastAsia="SimSun" w:hAnsi="SimSun" w:cs="SimSun"/>
        </w:rPr>
        <w:t>的规则择优录取。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学校认同并执行各省（自治区、直辖市）招生主管部门制定的有关加分或降分投档的政策规定。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学校外语公共课语种为英语。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w:t>
      </w:r>
      <w:r>
        <w:rPr>
          <w:rFonts w:ascii="SimSun" w:eastAsia="SimSun" w:hAnsi="SimSun" w:cs="SimSun"/>
        </w:rPr>
        <w:t>惯用左手的考生不能录取到口腔医学专业；色觉异常的考生不能录取到临床医学、眼视光医学、口腔医学、儿科学、麻醉学、医学影像学、精神医学、中医学、预防医学、医学技术类、康复治疗学、护理学、助产学、临床药学、药学类、眼视光技术、护理等医学类专业，以及生物技术、生物医学工程、应用心理学等专业</w:t>
      </w:r>
      <w:r>
        <w:rPr>
          <w:rFonts w:ascii="Times New Roman" w:eastAsia="Times New Roman" w:hAnsi="Times New Roman" w:cs="Times New Roman"/>
        </w:rPr>
        <w:t>,</w:t>
      </w:r>
      <w:r>
        <w:rPr>
          <w:rFonts w:ascii="SimSun" w:eastAsia="SimSun" w:hAnsi="SimSun" w:cs="SimSun"/>
        </w:rPr>
        <w:t>其他身体健康要求按照教育部《普通高等学校招生体检工作指导意见》的规定执行。新生入学后进行体检复查，对不符合体检要求者，按学校有关规定执行。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经浙江省卫生健康委员会、发展改革委、教育厅、人力社保厅、财政厅批准，学校承担面向浙江省部分县（市、区）的基层卫生人才定向培养工作，录取批次及录取方式以相关文件为准，学校设定最低录取控制线，基层卫生人才定向培养本科各专业最低投档成绩应不低于第一段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学校对华侨、港澳台地区学生的录取工作按照中华人民共和国普通高等学校联合招收华侨、港澳地区及台湾省学生办公室的有关规定和安排进行。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学校在浙江省的</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综合评价招生按照《温州医科大学</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学校录取结果按照教育部和各省（自治区、直辖市）的有关要求及规定进行公布。考生可登陆学校本专科招生网查询。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入学复查、收费、奖励和资助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w:t>
      </w:r>
      <w:r>
        <w:rPr>
          <w:rFonts w:ascii="SimSun" w:eastAsia="SimSun" w:hAnsi="SimSun" w:cs="SimSun"/>
        </w:rPr>
        <w:t>被我校录取的新生，须持《温州医科大学录取通知书》，并按学校有关要求和规定的期限到校办理入学手续。新生报到时接受入学资格初步审查，入学后按照有关规定进行复查，不合格者，学校将依据有关规定予以处理，直至取消入学资格或者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学校收费严格按照浙江省发展和改革委员会文件和有关规定执行。学校实行学分制收费办法，新生入学时按学年制学费标准预交学费，按学年结算。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学校设有新生奖学金、优秀学生奖学金、单项奖学金和各类专项奖学金，实行国家助学贷款、勤工助学、困难补助、学费减免等多元资助政策，开通经济困难新生入学报到</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通讯地址：浙江省温州市茶山高教园区，温州医科大学招生办公室。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325035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0577-86689885          </w:t>
      </w:r>
      <w:r>
        <w:rPr>
          <w:rFonts w:ascii="SimSun" w:eastAsia="SimSun" w:hAnsi="SimSun" w:cs="SimSun"/>
        </w:rPr>
        <w:t>传真：</w:t>
      </w:r>
      <w:r>
        <w:rPr>
          <w:rFonts w:ascii="Times New Roman" w:eastAsia="Times New Roman" w:hAnsi="Times New Roman" w:cs="Times New Roman"/>
        </w:rPr>
        <w:t xml:space="preserve">0577-86689900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http://www.wmu.edu.cn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http://zhaosheng.wmu.edu.cn/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w:t>
      </w:r>
      <w:r>
        <w:rPr>
          <w:rFonts w:ascii="SimSun" w:eastAsia="SimSun" w:hAnsi="SimSun" w:cs="SimSun"/>
        </w:rPr>
        <w:t>本章程由温州医科大学招生办公室负责解释。本章程若有与国家和上级有关政策不一致之处，以国家和上级有关政策为准。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学校不委托任何机构和个人办理招生相关事宜。对以温州医科大学名义进行非法招生宣传等活动的机构或个人，我校保留依法追究其责任的权利。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本章程自公布之日起实施。</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年本科生招生章程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同济大学浙江学院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浙江汽车职业技术学院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台州科技职业学院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浙江邮电职业技术学院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年招生章程（浙江省）</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浙江财经大学东方学院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嘉兴学院南湖学院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温州大学瓯江学院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湖州师范学院求真学院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浙江农林大学暨阳学院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19/0630/10423.html" TargetMode="External" /><Relationship Id="rId11" Type="http://schemas.openxmlformats.org/officeDocument/2006/relationships/hyperlink" Target="http://www.gk114.com/a/gxzs/zszc/zhejiang/2019/0630/10422.html" TargetMode="External" /><Relationship Id="rId12" Type="http://schemas.openxmlformats.org/officeDocument/2006/relationships/hyperlink" Target="http://www.gk114.com/a/gxzs/zszc/zhejiang/2019/0630/10421.html" TargetMode="External" /><Relationship Id="rId13" Type="http://schemas.openxmlformats.org/officeDocument/2006/relationships/hyperlink" Target="http://www.gk114.com/a/gxzs/zszc/zhejiang/2019/0630/10420.html" TargetMode="External" /><Relationship Id="rId14" Type="http://schemas.openxmlformats.org/officeDocument/2006/relationships/hyperlink" Target="http://www.gk114.com/a/gxzs/zszc/zhejiang/2019/0630/10419.html" TargetMode="External" /><Relationship Id="rId15" Type="http://schemas.openxmlformats.org/officeDocument/2006/relationships/hyperlink" Target="http://www.gk114.com/a/gxzs/zszc/zhejiang/2019/0630/10418.html" TargetMode="External" /><Relationship Id="rId16" Type="http://schemas.openxmlformats.org/officeDocument/2006/relationships/hyperlink" Target="http://www.gk114.com/a/gxzs/zszc/zhejiang/2019/0630/10416.html" TargetMode="External" /><Relationship Id="rId17" Type="http://schemas.openxmlformats.org/officeDocument/2006/relationships/hyperlink" Target="http://www.gk114.com/a/gxzs/zszc/zhejiang/2021/0610/19817.html" TargetMode="External" /><Relationship Id="rId18" Type="http://schemas.openxmlformats.org/officeDocument/2006/relationships/hyperlink" Target="http://www.gk114.com/a/gxzs/zszc/zhejiang/2021/0602/19682.html" TargetMode="External" /><Relationship Id="rId19" Type="http://schemas.openxmlformats.org/officeDocument/2006/relationships/hyperlink" Target="http://www.gk114.com/a/gxzs/zszc/zhejiang/2021/0610/19816.html" TargetMode="External" /><Relationship Id="rId2" Type="http://schemas.openxmlformats.org/officeDocument/2006/relationships/webSettings" Target="webSettings.xml" /><Relationship Id="rId20" Type="http://schemas.openxmlformats.org/officeDocument/2006/relationships/hyperlink" Target="http://www.gk114.com/a/gxzs/zszc/zhejiang/2019/0222/6604.html" TargetMode="External" /><Relationship Id="rId21" Type="http://schemas.openxmlformats.org/officeDocument/2006/relationships/hyperlink" Target="http://www.gk114.com/a/gxzs/zszc/zhejiang/2019/0222/6618.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381.html" TargetMode="External" /><Relationship Id="rId5" Type="http://schemas.openxmlformats.org/officeDocument/2006/relationships/hyperlink" Target="http://www.gk114.com/a/gxzs/zszc/zhejiang/2019/0630/10383.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19/0630/10427.html" TargetMode="External" /><Relationship Id="rId8" Type="http://schemas.openxmlformats.org/officeDocument/2006/relationships/hyperlink" Target="http://www.gk114.com/a/gxzs/zszc/zhejiang/2019/0630/10426.html" TargetMode="External" /><Relationship Id="rId9" Type="http://schemas.openxmlformats.org/officeDocument/2006/relationships/hyperlink" Target="http://www.gk114.com/a/gxzs/zszc/zhejiang/2019/0630/1042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