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湖北经济学院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2022</w:t>
      </w:r>
      <w:r>
        <w:rPr>
          <w:rFonts w:ascii="SimSun" w:eastAsia="SimSun" w:hAnsi="SimSun" w:cs="SimSun"/>
          <w:kern w:val="36"/>
          <w:sz w:val="48"/>
          <w:szCs w:val="48"/>
        </w:rPr>
        <w:t>年美术与设计学类专业招生简章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2022-02-20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b/>
          <w:bCs/>
          <w:color w:val="666666"/>
        </w:rPr>
        <w:t>一、报名方式及条件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1.符合教育部及生源省份规定的2022年美术类、设计学类专业报名条件。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2.参加所在生源省份招生考试部门组织的艺术类专业统考，成绩达到该省份划定的本科院校合格线。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3.符合教育部有关高考的报名条件，参加全国普通高等学校统一入学文化考试，且文化成绩达到所在生源省份艺术类专业文化控制线。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4.身体健康，无色弱、色盲。具有良好的文学功底及艺术素养。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b/>
          <w:bCs/>
          <w:color w:val="666666"/>
        </w:rPr>
        <w:t>二、录取原则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1.考生须填报我校志愿且高考文化成绩达到所在省份控制分数线，文理兼收。对于按首选科目或科类分别投放招生计划的省份，按首选科目或科类分别排序从高到低录取;对于不分首选科目或科类投放招生计划的省份，录取时采取统一排序的方式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2.对湖北省艺术类考生,需湖北省艺术类专业统考成绩合格，根据考生投档成绩和专业志愿，以“分数优先”原则从高到低择优录取(投档成绩=(省专业统考成绩*60%+高考文化成绩*40%)*2)。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3.对非湖北省的艺术类考生，我校认可各省份艺术专业统考成绩，根据考生投档成绩和专业志愿，以“分数优先”原则从高到低择优录取。投档成绩按各省份所在录取批次统一规定换算标准执行,若没有统一换算标准的则按综合成绩(综合成绩=省专业统考成绩*60%+高考文化成绩*40%)从高到低择优录取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4.录取原则以我校官网最终发布的2022年招生章程内容为准。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b/>
          <w:bCs/>
          <w:color w:val="666666"/>
        </w:rPr>
        <w:t>三、招生地区及专业计划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2022年我校普通艺术类专业招收视觉传达设计、环境设计、动画、数字媒体艺术4个本科专业学生，其中视觉传达设计、环境设计、数字媒体艺术3个专业按照设计学类实施大类招生，面向河北、江苏、江西、湖北、山东、河南等6省招生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2022年经教育部批准，我校与意大利乔凡尼·巴蒂斯塔·提埃坡罗美术学院中外合作项目招收环境设计专业，项目批准书编号：MOE42IT2A20212200N.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美术与设计学类招生专业及计划见下表。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jc w:val="center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strike w:val="0"/>
          <w:color w:val="666666"/>
          <w:u w:val="none"/>
          <w:bdr w:val="none" w:sz="0" w:space="0" w:color="auto"/>
        </w:rPr>
        <w:drawing>
          <wp:inline>
            <wp:extent cx="5715000" cy="216217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62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b/>
          <w:bCs/>
          <w:color w:val="666666"/>
        </w:rPr>
        <w:t>四、联系方式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学校地址：武汉市江夏区藏龙岛开发区杨桥湖大道8号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咨询电话：027—81973844(艺术设计学院)027—81973717(招生办公室)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网 址：http://zs.hbue.edu.cn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邮 箱：zs@hbue.edu.cn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邮 编：430205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湖北中医药大学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湖北工业大学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年美术类本科专业招生简章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武汉设计工程学院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年艺术类专业考试招生公告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武汉东湖学院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年艺术类专业校考招生简章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湖北工业大学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年美术类本科专业招生简章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湖北中医药大学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湖北工业大学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年武汉工程大学邮电与信息工程学院全日制普通本专科招生章程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ubei/2020/0715/17426.html" TargetMode="External" /><Relationship Id="rId11" Type="http://schemas.openxmlformats.org/officeDocument/2006/relationships/hyperlink" Target="http://www.gk114.com/a/gxzs/zszc/hubei/2020/0620/16874.html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http://www.gk114.com/a/gxzs/zszc/hubei/2020/0715/17428.html" TargetMode="External" /><Relationship Id="rId6" Type="http://schemas.openxmlformats.org/officeDocument/2006/relationships/hyperlink" Target="http://www.gk114.com/a/gxzs/zszc/hubei/2022/0220/21754.html" TargetMode="External" /><Relationship Id="rId7" Type="http://schemas.openxmlformats.org/officeDocument/2006/relationships/hyperlink" Target="http://www.gk114.com/a/gxzs/zszc/hubei/" TargetMode="External" /><Relationship Id="rId8" Type="http://schemas.openxmlformats.org/officeDocument/2006/relationships/hyperlink" Target="http://www.gk114.com/a/gxzs/zszc/hubei/2022/1225/23946.html" TargetMode="External" /><Relationship Id="rId9" Type="http://schemas.openxmlformats.org/officeDocument/2006/relationships/hyperlink" Target="http://www.gk114.com/a/gxzs/zszc/hubei/2022/0220/2176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