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湛江幼儿师范专科学校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学校名称：湛江幼儿师范专科学校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50583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校本部：湛江市麻章区雷湖快线湛江教育基地南环路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 xml:space="preserve">524086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湛江幼儿师范专科学校，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在省（区、市）招生委员会划定的录取最低控制分数线上，在确保完成招生计划的前提下，按照文科类、理科类、体育类、艺术类（含音乐类、美术类）分类录取。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级及以上等级。报考本校艺术类（含音乐类、美术类）专业，参加高考文科类文化课考试的考生必须参加物理、化学、生物学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在无排位或排位分的省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体育类及艺术类统考专业分档时，根据各省（区、市）投档规则出档后，在考生符合专业要求的基础上，实行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份，按各省（区、市）投档规则出档后，根据考生高考文化成绩、术科统考成绩按比例合成综合分（以普通高考文化课总分和术科统考分数合成的总分排序情况投档，总分合成计算公式为：考生总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术科统考成绩</w:t>
      </w:r>
      <w:r>
        <w:rPr>
          <w:rFonts w:ascii="Times New Roman" w:eastAsia="Times New Roman" w:hAnsi="Times New Roman" w:cs="Times New Roman"/>
        </w:rPr>
        <w:t>×2.5×60%</w:t>
      </w:r>
      <w:r>
        <w:rPr>
          <w:rFonts w:ascii="SimSun" w:eastAsia="SimSun" w:hAnsi="SimSun" w:cs="SimSun"/>
        </w:rPr>
        <w:t>。），学校根据分数优先原则，按考生综合分从高到低录取。当考生综合分相同时，按考生文化成绩从高到低录取。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学前教育专业学费</w:t>
      </w:r>
      <w:r>
        <w:rPr>
          <w:rFonts w:ascii="Times New Roman" w:eastAsia="Times New Roman" w:hAnsi="Times New Roman" w:cs="Times New Roman"/>
        </w:rPr>
        <w:t>7800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学年，文科类（不含学前教育）专业学费</w:t>
      </w:r>
      <w:r>
        <w:rPr>
          <w:rFonts w:ascii="Times New Roman" w:eastAsia="Times New Roman" w:hAnsi="Times New Roman" w:cs="Times New Roman"/>
        </w:rPr>
        <w:t>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学年；理科类（含体育教育、社会体育）专业学费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学年；艺术类（含艺术教育）专业学费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500</w:t>
      </w:r>
      <w:r>
        <w:rPr>
          <w:rFonts w:ascii="SimSun" w:eastAsia="SimSun" w:hAnsi="SimSun" w:cs="SimSun"/>
        </w:rPr>
        <w:t>－</w:t>
      </w:r>
      <w:r>
        <w:rPr>
          <w:rFonts w:ascii="Times New Roman" w:eastAsia="Times New Roman" w:hAnsi="Times New Roman" w:cs="Times New Roman"/>
        </w:rPr>
        <w:t>1350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国家助学贷款、奖学金、助学金、勤工助学等助学措施按照教育部、广东省教育厅和我校相关规定执行。学校学生每年奖助学金种类有：（</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3</w:t>
      </w:r>
      <w:r>
        <w:rPr>
          <w:rFonts w:ascii="SimSun" w:eastAsia="SimSun" w:hAnsi="SimSun" w:cs="SimSun"/>
        </w:rPr>
        <w:t>）家庭经济困难学生国家助学金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4</w:t>
      </w:r>
      <w:r>
        <w:rPr>
          <w:rFonts w:ascii="SimSun" w:eastAsia="SimSun" w:hAnsi="SimSun" w:cs="SimSun"/>
        </w:rPr>
        <w:t>）家庭经济困难学生助学贷款；（</w:t>
      </w:r>
      <w:r>
        <w:rPr>
          <w:rFonts w:ascii="Times New Roman" w:eastAsia="Times New Roman" w:hAnsi="Times New Roman" w:cs="Times New Roman"/>
        </w:rPr>
        <w:t>6</w:t>
      </w:r>
      <w:r>
        <w:rPr>
          <w:rFonts w:ascii="SimSun" w:eastAsia="SimSun" w:hAnsi="SimSun" w:cs="SimSun"/>
        </w:rPr>
        <w:t>）光大银行优秀学生奖学金。（</w:t>
      </w:r>
      <w:r>
        <w:rPr>
          <w:rFonts w:ascii="Times New Roman" w:eastAsia="Times New Roman" w:hAnsi="Times New Roman" w:cs="Times New Roman"/>
        </w:rPr>
        <w:t>7</w:t>
      </w:r>
      <w:r>
        <w:rPr>
          <w:rFonts w:ascii="SimSun" w:eastAsia="SimSun" w:hAnsi="SimSun" w:cs="SimSun"/>
        </w:rPr>
        <w:t>）学校综合测评奖学金，一等奖</w:t>
      </w:r>
      <w:r>
        <w:rPr>
          <w:rFonts w:ascii="Times New Roman" w:eastAsia="Times New Roman" w:hAnsi="Times New Roman" w:cs="Times New Roman"/>
        </w:rPr>
        <w:t>1000</w:t>
      </w:r>
      <w:r>
        <w:rPr>
          <w:rFonts w:ascii="SimSun" w:eastAsia="SimSun" w:hAnsi="SimSun" w:cs="SimSun"/>
        </w:rPr>
        <w:t>元，二等奖</w:t>
      </w:r>
      <w:r>
        <w:rPr>
          <w:rFonts w:ascii="Times New Roman" w:eastAsia="Times New Roman" w:hAnsi="Times New Roman" w:cs="Times New Roman"/>
        </w:rPr>
        <w:t>700</w:t>
      </w:r>
      <w:r>
        <w:rPr>
          <w:rFonts w:ascii="SimSun" w:eastAsia="SimSun" w:hAnsi="SimSun" w:cs="SimSun"/>
        </w:rPr>
        <w:t>元，三等奖</w:t>
      </w:r>
      <w:r>
        <w:rPr>
          <w:rFonts w:ascii="Times New Roman" w:eastAsia="Times New Roman" w:hAnsi="Times New Roman" w:cs="Times New Roman"/>
        </w:rPr>
        <w:t>500</w:t>
      </w:r>
      <w:r>
        <w:rPr>
          <w:rFonts w:ascii="SimSun" w:eastAsia="SimSun" w:hAnsi="SimSun" w:cs="SimSun"/>
        </w:rPr>
        <w:t>元。学校设有</w:t>
      </w:r>
      <w:r>
        <w:rPr>
          <w:rFonts w:ascii="Times New Roman" w:eastAsia="Times New Roman" w:hAnsi="Times New Roman" w:cs="Times New Roman"/>
        </w:rPr>
        <w:t>“</w:t>
      </w:r>
      <w:r>
        <w:rPr>
          <w:rFonts w:ascii="SimSun" w:eastAsia="SimSun" w:hAnsi="SimSun" w:cs="SimSun"/>
        </w:rPr>
        <w:t>校园之星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三好</w:t>
      </w:r>
      <w:r>
        <w:rPr>
          <w:rFonts w:ascii="Times New Roman" w:eastAsia="Times New Roman" w:hAnsi="Times New Roman" w:cs="Times New Roman"/>
        </w:rPr>
        <w:t>”</w:t>
      </w:r>
      <w:r>
        <w:rPr>
          <w:rFonts w:ascii="SimSun" w:eastAsia="SimSun" w:hAnsi="SimSun" w:cs="SimSun"/>
        </w:rPr>
        <w:t>学生、优秀学生干部及优秀毕业生等奖项。家庭经济贫困学生入学后经过评审可以获得学校资助，可以应聘学校勤工助学岗位，通过劳动获得勤工助学生活补助，也可以按照国家政策申请助学贷款。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0759-6606023</w:t>
      </w:r>
      <w:r>
        <w:rPr>
          <w:rFonts w:ascii="SimSun" w:eastAsia="SimSun" w:hAnsi="SimSun" w:cs="SimSun"/>
        </w:rPr>
        <w:t>；</w:t>
      </w:r>
      <w:r>
        <w:rPr>
          <w:rFonts w:ascii="Times New Roman" w:eastAsia="Times New Roman" w:hAnsi="Times New Roman" w:cs="Times New Roman"/>
        </w:rPr>
        <w:t>0759-3610638</w:t>
      </w:r>
      <w:r>
        <w:rPr>
          <w:rFonts w:ascii="SimSun" w:eastAsia="SimSun" w:hAnsi="SimSun" w:cs="SimSun"/>
        </w:rPr>
        <w:t>；</w:t>
      </w:r>
      <w:r>
        <w:rPr>
          <w:rFonts w:ascii="Times New Roman" w:eastAsia="Times New Roman" w:hAnsi="Times New Roman" w:cs="Times New Roman"/>
        </w:rPr>
        <w:t xml:space="preserve">0759-7600813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0759-6606023</w:t>
      </w:r>
      <w:r>
        <w:rPr>
          <w:rFonts w:ascii="SimSun" w:eastAsia="SimSun" w:hAnsi="SimSun" w:cs="SimSun"/>
        </w:rPr>
        <w:t>；</w:t>
      </w:r>
      <w:r>
        <w:rPr>
          <w:rFonts w:ascii="Times New Roman" w:eastAsia="Times New Roman" w:hAnsi="Times New Roman" w:cs="Times New Roman"/>
        </w:rPr>
        <w:t xml:space="preserve">0759-3610678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xzc@zhjpec.edu.cn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www.zhjpec.edu.cn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www.zhjpec.edu.cn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人：李卫忠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0759-3610363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0759-3610678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jjs@zhjpec.edu.cn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本章程由湛江幼儿师范专科学校授权湛江幼儿师范专科学校招生办公室解释。本章程若与国家和各省（区、市）的规定不一致，则以国家和各省（区、市）的规定为准。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广东江门中医药职业学院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广东财贸职业学院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59.html" TargetMode="External" /><Relationship Id="rId5" Type="http://schemas.openxmlformats.org/officeDocument/2006/relationships/hyperlink" Target="http://www.gk114.com/a/gxzs/zszc/guangdong/2021/0311/18961.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