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琼台师范学院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年本专科招生章程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2020-06-27</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第一章 总则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第一条</w:t>
      </w:r>
      <w:r>
        <w:rPr>
          <w:rFonts w:ascii="Microsoft YaHei" w:eastAsia="Microsoft YaHei" w:hAnsi="Microsoft YaHei" w:cs="Microsoft YaHei"/>
          <w:color w:val="666666"/>
          <w:sz w:val="21"/>
          <w:szCs w:val="21"/>
        </w:rPr>
        <w:t> 为进一步规范招生工作程序，保证招生录取工作的顺利进行，依据《中华人民共和国教育法》、《中华人民共和国高等教育法》和教育部以及海南省人民政府有关规定，结合我校情况，制定本章程。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第二条</w:t>
      </w:r>
      <w:r>
        <w:rPr>
          <w:rFonts w:ascii="Microsoft YaHei" w:eastAsia="Microsoft YaHei" w:hAnsi="Microsoft YaHei" w:cs="Microsoft YaHei"/>
          <w:color w:val="666666"/>
          <w:sz w:val="21"/>
          <w:szCs w:val="21"/>
        </w:rPr>
        <w:t>  学校全称为琼台师范学院，学校部标代码为13811。学校有府城校区、桂林洋校区两个校区，府城校区地址为海南省海口市琼山区府城中山路8号，邮编571100；桂林洋校区地址为海南省海口市美兰区桂林洋高校区，邮编571127。</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第三条</w:t>
      </w:r>
      <w:r>
        <w:rPr>
          <w:rFonts w:ascii="Microsoft YaHei" w:eastAsia="Microsoft YaHei" w:hAnsi="Microsoft YaHei" w:cs="Microsoft YaHei"/>
          <w:color w:val="666666"/>
          <w:sz w:val="21"/>
          <w:szCs w:val="21"/>
        </w:rPr>
        <w:t>  琼台师范学院的前身为创办于1705年的琼台书院，是由教育部批准成立的公办全日制普通高等本科院校，由海南省人民政府主办，具有本科、专科学历教育招生资格。</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第四条</w:t>
      </w:r>
      <w:r>
        <w:rPr>
          <w:rFonts w:ascii="Microsoft YaHei" w:eastAsia="Microsoft YaHei" w:hAnsi="Microsoft YaHei" w:cs="Microsoft YaHei"/>
          <w:color w:val="666666"/>
          <w:sz w:val="21"/>
          <w:szCs w:val="21"/>
        </w:rPr>
        <w:t>  本章程适用于琼台师范学院全日制普通本科、专科(高职)招生工作。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第二章  组织机构</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第五条</w:t>
      </w:r>
      <w:r>
        <w:rPr>
          <w:rFonts w:ascii="Microsoft YaHei" w:eastAsia="Microsoft YaHei" w:hAnsi="Microsoft YaHei" w:cs="Microsoft YaHei"/>
          <w:color w:val="666666"/>
          <w:sz w:val="21"/>
          <w:szCs w:val="21"/>
        </w:rPr>
        <w:t>  学校设立招生委员会，全面负责并协调各类型招生录取工作。招生委员会由校领导与学校有关职能部门及各二级学院主要负责人组成，并吸收教师、学生及校友代表参加，招生委员会主任由校长担任。学校招生办公室为学校招生委员会的执行机构，具体负责学校各类型招生与录取的日常工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第六条</w:t>
      </w:r>
      <w:r>
        <w:rPr>
          <w:rFonts w:ascii="Microsoft YaHei" w:eastAsia="Microsoft YaHei" w:hAnsi="Microsoft YaHei" w:cs="Microsoft YaHei"/>
          <w:color w:val="666666"/>
          <w:sz w:val="21"/>
          <w:szCs w:val="21"/>
        </w:rPr>
        <w:t>  学校纪检监察部门负责全程监督招生录取工作。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第三章 招生专业计划及收费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第七条</w:t>
      </w:r>
      <w:r>
        <w:rPr>
          <w:rFonts w:ascii="Microsoft YaHei" w:eastAsia="Microsoft YaHei" w:hAnsi="Microsoft YaHei" w:cs="Microsoft YaHei"/>
          <w:color w:val="666666"/>
          <w:sz w:val="21"/>
          <w:szCs w:val="21"/>
        </w:rPr>
        <w:t>  学校面向全国招生，招生专业及计划经学校招生委员会审定后公布，分专业招生计划详见各省级招生主管部门公布的2020年招生计划信息。</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第八条</w:t>
      </w:r>
      <w:r>
        <w:rPr>
          <w:rFonts w:ascii="Microsoft YaHei" w:eastAsia="Microsoft YaHei" w:hAnsi="Microsoft YaHei" w:cs="Microsoft YaHei"/>
          <w:color w:val="666666"/>
          <w:sz w:val="21"/>
          <w:szCs w:val="21"/>
        </w:rPr>
        <w:t>  学校预留本科招生计划不超过招生计划总数的1%，用于平衡各省（自治区、直辖市）优质生源以及解决同分考生录取的问题。预留计划使用时，坚持质量优先、公开透明的投放原则。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第九条  </w:t>
      </w:r>
      <w:r>
        <w:rPr>
          <w:rFonts w:ascii="Microsoft YaHei" w:eastAsia="Microsoft YaHei" w:hAnsi="Microsoft YaHei" w:cs="Microsoft YaHei"/>
          <w:color w:val="666666"/>
          <w:sz w:val="21"/>
          <w:szCs w:val="21"/>
        </w:rPr>
        <w:t>学费标准：理工、体育、外语、财经、管理、信息科学、计算机、旅游收费标准为本专科4600元/年、高职5700元/年；文史类本专科收费4180元/年、高职4950元/年；艺术类专业收费本科8800元/年、高职专科8000元/年。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住宿费：根据住宿条件不同，分别为每生900——1450元/年不等。</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以上收费按照海南省发展和改革委员会、财政厅和教育厅规定的收费标准执行，如有变动，以海南省的最新批文为准。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第四章  录取原则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第十条</w:t>
      </w:r>
      <w:r>
        <w:rPr>
          <w:rFonts w:ascii="Microsoft YaHei" w:eastAsia="Microsoft YaHei" w:hAnsi="Microsoft YaHei" w:cs="Microsoft YaHei"/>
          <w:color w:val="666666"/>
          <w:sz w:val="21"/>
          <w:szCs w:val="21"/>
        </w:rPr>
        <w:t>  执行国家教育部及各省级招办的有关政策和规定，贯彻“公开、公平、公正、择优”的原则，实行远程网上录取。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第十一条</w:t>
      </w:r>
      <w:r>
        <w:rPr>
          <w:rFonts w:ascii="Microsoft YaHei" w:eastAsia="Microsoft YaHei" w:hAnsi="Microsoft YaHei" w:cs="Microsoft YaHei"/>
          <w:color w:val="666666"/>
          <w:sz w:val="21"/>
          <w:szCs w:val="21"/>
        </w:rPr>
        <w:t> 按照考生院校志愿先后录取，不设志愿分数级差，即优先录取第一志愿报考我校的合格考生，如第一志愿生源不能满足，再按第二志愿录取，依此类推。对于实行平行志愿的省份，把同一轮“平行投档”的考生视为院校志愿顺序相同，即同为“一志愿”或“非一志愿”。</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第十二条</w:t>
      </w:r>
      <w:r>
        <w:rPr>
          <w:rFonts w:ascii="Microsoft YaHei" w:eastAsia="Microsoft YaHei" w:hAnsi="Microsoft YaHei" w:cs="Microsoft YaHei"/>
          <w:color w:val="666666"/>
          <w:sz w:val="21"/>
          <w:szCs w:val="21"/>
        </w:rPr>
        <w:t> 考生外语语种不限，但进校后以英语为第一外语。入学后如因情况特殊确需调整专业的，可按学校有关规定办理，艺术类和体育类专业的学生不能调整到普通类专业。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第十三条</w:t>
      </w:r>
      <w:r>
        <w:rPr>
          <w:rFonts w:ascii="Microsoft YaHei" w:eastAsia="Microsoft YaHei" w:hAnsi="Microsoft YaHei" w:cs="Microsoft YaHei"/>
          <w:color w:val="666666"/>
          <w:sz w:val="21"/>
          <w:szCs w:val="21"/>
        </w:rPr>
        <w:t>  进档考生专业安排：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一）在政审和体检合格的前提下，按照分数优先的原则安排专业，即出档的高分考生优先满足专业志愿，当第一专业志愿不能满足时，按其第二专业志愿录取，依此类推，当考生所有专业志愿均不能满足时，若考生服从专业调剂，则将其录取到计划未满的其它专业，不服从专业调剂的考生，将予以退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（二）在考生文化总分相同的情况下，依次参考考生的语文、数学、外语科目成绩高低，考虑录取与否和专业安排；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（三）承认各省级招办的加分或优先录取政策，对于符合加分或优先录取条件的考生，我校根据具体标准，采取加分后排序录取或在同等条件下优先录取。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第十四条</w:t>
      </w:r>
      <w:r>
        <w:rPr>
          <w:rFonts w:ascii="Microsoft YaHei" w:eastAsia="Microsoft YaHei" w:hAnsi="Microsoft YaHei" w:cs="Microsoft YaHei"/>
          <w:color w:val="666666"/>
          <w:sz w:val="21"/>
          <w:szCs w:val="21"/>
        </w:rPr>
        <w:t>  报考外语专业的考生参加外语口试办法和口试成绩以各省级招办的具体规定为准，学校在录取时参照各地规定执行。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第十五条</w:t>
      </w:r>
      <w:r>
        <w:rPr>
          <w:rFonts w:ascii="Microsoft YaHei" w:eastAsia="Microsoft YaHei" w:hAnsi="Microsoft YaHei" w:cs="Microsoft YaHei"/>
          <w:color w:val="666666"/>
          <w:sz w:val="21"/>
          <w:szCs w:val="21"/>
        </w:rPr>
        <w:t>  艺术类专业的录取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（一）我校组织了校考的省（自治区、直辖市），其专业成绩以校考成绩为依据；没有组织艺术类校考的，专业成绩认可当地招生考试部门组织的相关专业统（联）考成绩。</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二）艺术类专业在考生文化成绩达到生源所在省（自治区、直辖市）最低控制分数线的情况下，按照进档考生的专业成绩从高分到低分择优录取，如专业成绩相同，优先录取文化分数高的考生。当专业成绩、文化成绩都相同时，则依次参考考生的语文、数学、外语科目成绩高低，考虑录取与否和专业安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第十六条</w:t>
      </w:r>
      <w:r>
        <w:rPr>
          <w:rFonts w:ascii="Microsoft YaHei" w:eastAsia="Microsoft YaHei" w:hAnsi="Microsoft YaHei" w:cs="Microsoft YaHei"/>
          <w:color w:val="666666"/>
          <w:sz w:val="21"/>
          <w:szCs w:val="21"/>
        </w:rPr>
        <w:t> 体育类专业认可各省（自治区、直辖市）专业测试成绩，在考生文化成绩达到生源所在省（自治区、直辖市）最低控制分数线的情况下，按照进档考生的专业成绩从高分到低分择优录取，如专业成绩相同，优先录取文化分数高的考生。当专业成绩、文化成绩都相同时，则依次参考考生的语文、数学、外语科目成绩高低，考虑录取与否和专业安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第十七条</w:t>
      </w:r>
      <w:r>
        <w:rPr>
          <w:rFonts w:ascii="Microsoft YaHei" w:eastAsia="Microsoft YaHei" w:hAnsi="Microsoft YaHei" w:cs="Microsoft YaHei"/>
          <w:color w:val="666666"/>
          <w:sz w:val="21"/>
          <w:szCs w:val="21"/>
        </w:rPr>
        <w:t> 对考生身体状况的要求，按《普通高等学校招生体检工作指导意见》的规定执行。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第十八条</w:t>
      </w:r>
      <w:r>
        <w:rPr>
          <w:rFonts w:ascii="Microsoft YaHei" w:eastAsia="Microsoft YaHei" w:hAnsi="Microsoft YaHei" w:cs="Microsoft YaHei"/>
          <w:color w:val="666666"/>
          <w:sz w:val="21"/>
          <w:szCs w:val="21"/>
        </w:rPr>
        <w:t>  江苏省招生的考生学业水平测试等级要求为“选测CC 必测5合格”，进档考生排序方法为“先分数后等级”，选测科目要求见江苏省招办公布的分专业招生计划表。</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第十九条</w:t>
      </w:r>
      <w:r>
        <w:rPr>
          <w:rFonts w:ascii="Microsoft YaHei" w:eastAsia="Microsoft YaHei" w:hAnsi="Microsoft YaHei" w:cs="Microsoft YaHei"/>
          <w:color w:val="666666"/>
          <w:sz w:val="21"/>
          <w:szCs w:val="21"/>
        </w:rPr>
        <w:t>  在实行高考选考科目和录取方式改革的试点省（自治区、直辖市）的录取，按照我校在该省（自治区、直辖市）公布的选考科目和该省（自治区、直辖市）招生考试主管部门的有关录取规定执行。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第五章 其它事项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第二十条</w:t>
      </w:r>
      <w:r>
        <w:rPr>
          <w:rFonts w:ascii="Microsoft YaHei" w:eastAsia="Microsoft YaHei" w:hAnsi="Microsoft YaHei" w:cs="Microsoft YaHei"/>
          <w:color w:val="666666"/>
          <w:sz w:val="21"/>
          <w:szCs w:val="21"/>
        </w:rPr>
        <w:t>  为激励学生勤奋学习，国家和海南省设有国家奖学金、国家励志奖学金、国家助学金、海南省高等学校优秀贫困生奖学金，学校设有校级奖学金。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第二十一条  </w:t>
      </w:r>
      <w:r>
        <w:rPr>
          <w:rFonts w:ascii="Microsoft YaHei" w:eastAsia="Microsoft YaHei" w:hAnsi="Microsoft YaHei" w:cs="Microsoft YaHei"/>
          <w:color w:val="666666"/>
          <w:sz w:val="21"/>
          <w:szCs w:val="21"/>
        </w:rPr>
        <w:t>在校学生全员享受学生生活费补助金。学校设立校内勤工助学岗位，帮助家庭经济困难的学生顺利完成学业。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第二十二条</w:t>
      </w:r>
      <w:r>
        <w:rPr>
          <w:rFonts w:ascii="Microsoft YaHei" w:eastAsia="Microsoft YaHei" w:hAnsi="Microsoft YaHei" w:cs="Microsoft YaHei"/>
          <w:color w:val="666666"/>
          <w:sz w:val="21"/>
          <w:szCs w:val="21"/>
        </w:rPr>
        <w:t>  学生在规定时间内修完教学计划规定的全部课程并经考试合格准予毕业的，颁发教育部电子注册的普通高等教育本科、专科毕业证书，学校名称为琼台师范学院；符合学位授予条件者，颁发琼台师范学院学士学位证书。参加相应专业的技能培训并考核合格者，颁发职业技能鉴定证书或职业资格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第二十三条  </w:t>
      </w:r>
      <w:r>
        <w:rPr>
          <w:rFonts w:ascii="Microsoft YaHei" w:eastAsia="Microsoft YaHei" w:hAnsi="Microsoft YaHei" w:cs="Microsoft YaHei"/>
          <w:color w:val="666666"/>
          <w:sz w:val="21"/>
          <w:szCs w:val="21"/>
        </w:rPr>
        <w:t>录取结果可通过各省（自治区、直辖市）高招办向考生及社会发布的高考录取信息渠道或者我校招生信息网站查询。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第二十四条</w:t>
      </w:r>
      <w:r>
        <w:rPr>
          <w:rFonts w:ascii="Microsoft YaHei" w:eastAsia="Microsoft YaHei" w:hAnsi="Microsoft YaHei" w:cs="Microsoft YaHei"/>
          <w:color w:val="666666"/>
          <w:sz w:val="21"/>
          <w:szCs w:val="21"/>
        </w:rPr>
        <w:t>  新生入学后，学校按照国家有关规定对其进行入学资格复查。复查合格者予以注册，取得学籍。复查不合格者，由学校按有关规定予以处理，直至取消入学资格。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第二十五条</w:t>
      </w:r>
      <w:r>
        <w:rPr>
          <w:rFonts w:ascii="Microsoft YaHei" w:eastAsia="Microsoft YaHei" w:hAnsi="Microsoft YaHei" w:cs="Microsoft YaHei"/>
          <w:color w:val="666666"/>
          <w:sz w:val="21"/>
          <w:szCs w:val="21"/>
        </w:rPr>
        <w:t>  咨询及联系方式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学校网址：</w:t>
      </w:r>
      <w:hyperlink r:id="rId4" w:history="1">
        <w:r>
          <w:rPr>
            <w:rFonts w:ascii="Microsoft YaHei" w:eastAsia="Microsoft YaHei" w:hAnsi="Microsoft YaHei" w:cs="Microsoft YaHei"/>
            <w:color w:val="666666"/>
            <w:sz w:val="21"/>
            <w:szCs w:val="21"/>
            <w:u w:val="single" w:color="666666"/>
          </w:rPr>
          <w:t>www.qtnu.edu.cn</w:t>
        </w:r>
      </w:hyperlink>
      <w:r>
        <w:rPr>
          <w:rFonts w:ascii="Microsoft YaHei" w:eastAsia="Microsoft YaHei" w:hAnsi="Microsoft YaHei" w:cs="Microsoft YaHei"/>
          <w:color w:val="666666"/>
          <w:sz w:val="21"/>
          <w:szCs w:val="21"/>
        </w:rPr>
        <w:t>        Email：qtsfzsb@163.com</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学校招生信息网站：</w:t>
      </w:r>
      <w:hyperlink r:id="rId5" w:history="1">
        <w:r>
          <w:rPr>
            <w:rFonts w:ascii="Microsoft YaHei" w:eastAsia="Microsoft YaHei" w:hAnsi="Microsoft YaHei" w:cs="Microsoft YaHei"/>
            <w:color w:val="666666"/>
            <w:sz w:val="21"/>
            <w:szCs w:val="21"/>
            <w:u w:val="single" w:color="666666"/>
          </w:rPr>
          <w:t>http://zhaosheng.qtnu.edu.cn/</w:t>
        </w:r>
      </w:hyperlink>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通讯地址：海南省海口市琼山区府城中山路8号琼台师范学院招生办公室；邮编：571100。</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咨询电话：0898-66671919、65897455    传真：0989-65899518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第二十六条  </w:t>
      </w:r>
      <w:r>
        <w:rPr>
          <w:rFonts w:ascii="Microsoft YaHei" w:eastAsia="Microsoft YaHei" w:hAnsi="Microsoft YaHei" w:cs="Microsoft YaHei"/>
          <w:color w:val="666666"/>
          <w:sz w:val="21"/>
          <w:szCs w:val="21"/>
        </w:rPr>
        <w:t>未尽事宜以教育部当年有关规定为准，本章程经学校招生委员会审定后公布，由学校招生办公室负责解释。</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6" w:history="1">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年三亚城市职业学院招生章程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7" w:history="1">
        <w:r>
          <w:rPr>
            <w:rFonts w:ascii="SimSun" w:eastAsia="SimSun" w:hAnsi="SimSun" w:cs="SimSun"/>
            <w:color w:val="0000EE"/>
            <w:u w:val="single" w:color="0000EE"/>
          </w:rPr>
          <w:t>三亚航空旅游职业学院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海南卫生健康职业学院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三亚理工职业学院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海南工商职业学院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海南政法职业学院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13" w:history="1">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年海南职业技术学院招生章程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海南大学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海南热带海洋学院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年全日制普通高校招生章程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海口经济学院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海南外国语职业学院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三亚学院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hainan/2020/0627/17014.html" TargetMode="External" /><Relationship Id="rId11" Type="http://schemas.openxmlformats.org/officeDocument/2006/relationships/hyperlink" Target="http://www.gk114.com/a/gxzs/zszc/hainan/2020/0627/17013.html" TargetMode="External" /><Relationship Id="rId12" Type="http://schemas.openxmlformats.org/officeDocument/2006/relationships/hyperlink" Target="http://www.gk114.com/a/gxzs/zszc/hainan/2020/0627/17012.html" TargetMode="External" /><Relationship Id="rId13" Type="http://schemas.openxmlformats.org/officeDocument/2006/relationships/hyperlink" Target="http://www.gk114.com/a/gxzs/zszc/hainan/2020/0627/17011.html" TargetMode="External" /><Relationship Id="rId14" Type="http://schemas.openxmlformats.org/officeDocument/2006/relationships/hyperlink" Target="http://www.gk114.com/a/gxzs/zszc/hainan/2020/0627/17010.html" TargetMode="External" /><Relationship Id="rId15" Type="http://schemas.openxmlformats.org/officeDocument/2006/relationships/hyperlink" Target="http://www.gk114.com/a/gxzs/zszc/hainan/2020/0627/17009.html" TargetMode="External" /><Relationship Id="rId16" Type="http://schemas.openxmlformats.org/officeDocument/2006/relationships/hyperlink" Target="http://www.gk114.com/a/gxzs/zszc/hainan/2020/0627/17008.html" TargetMode="External" /><Relationship Id="rId17" Type="http://schemas.openxmlformats.org/officeDocument/2006/relationships/hyperlink" Target="http://www.gk114.com/a/gxzs/zszc/hainan/2020/0627/17007.html" TargetMode="External" /><Relationship Id="rId18" Type="http://schemas.openxmlformats.org/officeDocument/2006/relationships/hyperlink" Target="http://www.gk114.com/a/gxzs/zszc/hainan/2020/0627/17006.html"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qtnu.edu.cn/" TargetMode="External" /><Relationship Id="rId5" Type="http://schemas.openxmlformats.org/officeDocument/2006/relationships/hyperlink" Target="http://zhaosheng.qtnu.edu.cn/" TargetMode="External" /><Relationship Id="rId6" Type="http://schemas.openxmlformats.org/officeDocument/2006/relationships/hyperlink" Target="http://www.gk114.com/a/gxzs/zszc/hainan/2020/0627/17001.html" TargetMode="External" /><Relationship Id="rId7" Type="http://schemas.openxmlformats.org/officeDocument/2006/relationships/hyperlink" Target="http://www.gk114.com/a/gxzs/zszc/hainan/2020/0627/17003.html" TargetMode="External" /><Relationship Id="rId8" Type="http://schemas.openxmlformats.org/officeDocument/2006/relationships/hyperlink" Target="http://www.gk114.com/a/gxzs/zszc/hainan/" TargetMode="External" /><Relationship Id="rId9" Type="http://schemas.openxmlformats.org/officeDocument/2006/relationships/hyperlink" Target="http://www.gk114.com/a/gxzs/zszc/hainan/2020/0627/17015.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