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甘肃农业大学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为保证学校本科生招生工作顺利进行，维护学校和考生合法权益，根据《中华人民共和国教育法》、《中华人民共和国高等教育法》和教育部、甘肃省高等学校招生委员会、甘肃省教育厅有关高考招生录取工作的相关规定，结合我校实际情况，特制订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第二条学校全称为甘肃农业大学，是公办全日制普通高等学校，部标代码为</w:t>
      </w:r>
      <w:r>
        <w:rPr>
          <w:rFonts w:ascii="Times New Roman" w:eastAsia="Times New Roman" w:hAnsi="Times New Roman" w:cs="Times New Roman"/>
        </w:rPr>
        <w:t>10733</w:t>
      </w:r>
      <w:r>
        <w:rPr>
          <w:rFonts w:ascii="SimSun" w:eastAsia="SimSun" w:hAnsi="SimSun" w:cs="SimSun"/>
        </w:rPr>
        <w:t>，上级主管部门为甘肃省教育厅。校本部地址为甘肃省兰州市安宁区营门村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号，应用技术学院地址为甘肃省定西市临洮县文峰北路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号，园林工程学院地址为甘肃省天水市麦积区马跑泉路</w:t>
      </w:r>
      <w:r>
        <w:rPr>
          <w:rFonts w:ascii="Times New Roman" w:eastAsia="Times New Roman" w:hAnsi="Times New Roman" w:cs="Times New Roman"/>
        </w:rPr>
        <w:t>58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第三条我校具有学士、硕士、博士学位授予权，前身为</w:t>
      </w:r>
      <w:r>
        <w:rPr>
          <w:rFonts w:ascii="Times New Roman" w:eastAsia="Times New Roman" w:hAnsi="Times New Roman" w:cs="Times New Roman"/>
        </w:rPr>
        <w:t>1946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月创建于兰州的国立兽医学院，现为农业农村部和甘肃省人民政府共建大学、国家重点建设的中西部百所高校之一、甘肃省高水平大学。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第四条甘肃农业大学设立招生委员会和年度本科招生工作领导小组，负责制定本科招生计划、招生政策和规则，讨论决定本科招生重大事宜。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第五条招生办公室为学校招生委员会的常设工作机构，设在招生就业工作处，负责学校本科招生的日常工作。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第六条我校本科生招生工作严格执行教育部的各项规定，在学校纪律监察部门的监督下开展工作。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招生计划与录取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我校按照上级主管部门核定的年度招生规模，根据学校办学条件等实际情况，统筹考虑毕业生就业情况、各省份生源质量、区域经济发展等因素，确定分省分专业招生计划。经教育部及各省招生主管部门审定后，通过各省招生主管部门及我校本科招生网站等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第八条我校根据各省（自治区、直辖市）生源情况和招生计划确定调档比例。按照平行志愿投档的批次，调档比例控制在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以内；其他批次的调档比例控制在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第九条我校执行教育部及各省（自治区、直辖市）招生主管部门有关政策性加分的规定，按照加分后的投档成绩进行录取和专业分配。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对进档考生的专业安排以投档成绩作为主要依据，采取分数优先的原则，根据考生成绩和专业志愿从高分到低分顺序录取。同等条件下参考相关科目成绩，相关科目成绩比较顺序：文史类考生依次比较语文、文综、数学、外语；理工类考生依次比较数学、理综、语文、外语。考生所有专业志愿都无法满足时，若服从专业调剂，则参考考生成绩、所报专业倾向等调剂到招生计划尚未完成的专业；若不服从专业调剂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第十一条内蒙古自治区考生根据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的规则进行录取；江苏省考生的学业水平选测科目等级要求为</w:t>
      </w:r>
      <w:r>
        <w:rPr>
          <w:rFonts w:ascii="Times New Roman" w:eastAsia="Times New Roman" w:hAnsi="Times New Roman" w:cs="Times New Roman"/>
        </w:rPr>
        <w:t>“2B”</w:t>
      </w:r>
      <w:r>
        <w:rPr>
          <w:rFonts w:ascii="SimSun" w:eastAsia="SimSun" w:hAnsi="SimSun" w:cs="SimSun"/>
        </w:rPr>
        <w:t>及以上；浙江省考生须符合专业设定的选考科目要求。</w:t>
      </w:r>
      <w:r>
        <w:rPr>
          <w:rFonts w:ascii="Times New Roman" w:eastAsia="Times New Roman" w:hAnsi="Times New Roman" w:cs="Times New Roman"/>
        </w:rPr>
        <w:t xml:space="preserve">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第十二条我校所有招生专业只录取应试外语语种为英语的学生。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第十三条我校对考生的单科成绩原则上要求在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分以上，工科类专业原则上要求数学成绩在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分以上，英语专业原则上要求英语成绩在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第十四条我校对考生的体检要求按照教育部、卫生部、残联制定的《普通高等学校招生体检工作指导意见》执行。新生入学后，须进行体检复查，凡不符合录取要求或弄虚作假者，取消入学资格。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第十五条我校收费标准严格执行甘肃省发改委的有关规定。学费标准：农林经济管理、农林经济管理（基地班）、英语（翻译方向、商务英语方向、英语语言文学方向）、信息管理与信息系统专业为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学年。除以上专业外，其他工学类专业为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学年，农学、理学类专业为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学年，管理学、法学、文学及经济学类专业为</w:t>
      </w:r>
      <w:r>
        <w:rPr>
          <w:rFonts w:ascii="Times New Roman" w:eastAsia="Times New Roman" w:hAnsi="Times New Roman" w:cs="Times New Roman"/>
        </w:rPr>
        <w:t>3800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学年。住宿费标准：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学年。以上收费标准若有变动，则按相关部门最新批文为准。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第十六条我校设有完善的奖、助学金体系。对于录取的高分考生，学校设立了新生奖学金；对于品学兼优、家庭困难的学生，建立了多种奖、助学金和勤工助学制度。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第十七条纪检监督举报电话：</w:t>
      </w:r>
      <w:r>
        <w:rPr>
          <w:rFonts w:ascii="Times New Roman" w:eastAsia="Times New Roman" w:hAnsi="Times New Roman" w:cs="Times New Roman"/>
        </w:rPr>
        <w:t>0931-7633600</w:t>
      </w:r>
      <w:r>
        <w:rPr>
          <w:rFonts w:ascii="SimSun" w:eastAsia="SimSun" w:hAnsi="SimSun" w:cs="SimSun"/>
        </w:rPr>
        <w:t>。招生咨询电话：</w:t>
      </w:r>
      <w:r>
        <w:rPr>
          <w:rFonts w:ascii="Times New Roman" w:eastAsia="Times New Roman" w:hAnsi="Times New Roman" w:cs="Times New Roman"/>
        </w:rPr>
        <w:t>0931-7631109</w:t>
      </w:r>
      <w:r>
        <w:rPr>
          <w:rFonts w:ascii="SimSun" w:eastAsia="SimSun" w:hAnsi="SimSun" w:cs="SimSun"/>
        </w:rPr>
        <w:t>，学校本科招生网：</w:t>
      </w:r>
      <w:r>
        <w:rPr>
          <w:rFonts w:ascii="Times New Roman" w:eastAsia="Times New Roman" w:hAnsi="Times New Roman" w:cs="Times New Roman"/>
        </w:rPr>
        <w:t>http://bkzs.gsau.edu.cn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第十八条本章程适用于甘肃农业大学全日制普通本科招生工作，由甘肃农业大学招生办公室负责解释。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第十九条本章程若与国家或各省（自治区、直辖市）招生主管部门有关政策相抵触，则以国家和上级有关政策规定为准。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年西北师范大学普通本科招生章程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甘肃政法大学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年普高本科招生章程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18.html" TargetMode="External" /><Relationship Id="rId11" Type="http://schemas.openxmlformats.org/officeDocument/2006/relationships/hyperlink" Target="http://www.gk114.com/a/gxzs/zszc/gansu/2021/0623/20016.html" TargetMode="External" /><Relationship Id="rId12" Type="http://schemas.openxmlformats.org/officeDocument/2006/relationships/hyperlink" Target="http://www.gk114.com/a/gxzs/zszc/gansu/2021/0623/20015.html" TargetMode="External" /><Relationship Id="rId13" Type="http://schemas.openxmlformats.org/officeDocument/2006/relationships/hyperlink" Target="http://www.gk114.com/a/gxzs/zszc/gansu/2021/0622/20011.html" TargetMode="External" /><Relationship Id="rId14" Type="http://schemas.openxmlformats.org/officeDocument/2006/relationships/hyperlink" Target="http://www.gk114.com/a/gxzs/zszc/gansu/2021/0622/20010.html" TargetMode="External" /><Relationship Id="rId15" Type="http://schemas.openxmlformats.org/officeDocument/2006/relationships/hyperlink" Target="http://www.gk114.com/a/gxzs/zszc/gansu/2021/0622/20006.html" TargetMode="External" /><Relationship Id="rId16" Type="http://schemas.openxmlformats.org/officeDocument/2006/relationships/hyperlink" Target="http://www.gk114.com/a/gxzs/zszc/gansu/2021/0622/20005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90.html" TargetMode="External" /><Relationship Id="rId5" Type="http://schemas.openxmlformats.org/officeDocument/2006/relationships/hyperlink" Target="http://www.gk114.com/a/gxzs/zszc/gansu/2019/0609/9592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09.html" TargetMode="External" /><Relationship Id="rId8" Type="http://schemas.openxmlformats.org/officeDocument/2006/relationships/hyperlink" Target="http://www.gk114.com/a/gxzs/zszc/gansu/2021/0623/20026.html" TargetMode="External" /><Relationship Id="rId9" Type="http://schemas.openxmlformats.org/officeDocument/2006/relationships/hyperlink" Target="http://www.gk114.com/a/gxzs/zszc/gansu/2021/0623/200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