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甘肃卫生职业学院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障甘肃卫生职业学院全日制高职（专科）招生工作的顺利进行，切实维护学校和考生的合法权益，根据《中华人民共和国教育法》《中华人民共和国高等教育法》和教育部、甘肃省教育厅、甘肃省教育考试院等有关高考招生录取工作的政策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一、学校名称  </w:t>
      </w:r>
      <w:r>
        <w:rPr>
          <w:rFonts w:ascii="Microsoft YaHei" w:eastAsia="Microsoft YaHei" w:hAnsi="Microsoft YaHei" w:cs="Microsoft YaHei"/>
          <w:color w:val="333333"/>
        </w:rPr>
        <w:t>甘肃卫生职业学院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二、学校代码  </w:t>
      </w:r>
      <w:r>
        <w:rPr>
          <w:rFonts w:ascii="Microsoft YaHei" w:eastAsia="Microsoft YaHei" w:hAnsi="Microsoft YaHei" w:cs="Microsoft YaHei"/>
          <w:color w:val="333333"/>
        </w:rPr>
        <w:t>14517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三、办学层次  </w:t>
      </w:r>
      <w:r>
        <w:rPr>
          <w:rFonts w:ascii="Microsoft YaHei" w:eastAsia="Microsoft YaHei" w:hAnsi="Microsoft YaHei" w:cs="Microsoft YaHei"/>
          <w:color w:val="333333"/>
        </w:rPr>
        <w:t>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四、办学性质  </w:t>
      </w:r>
      <w:r>
        <w:rPr>
          <w:rFonts w:ascii="Microsoft YaHei" w:eastAsia="Microsoft YaHei" w:hAnsi="Microsoft YaHei" w:cs="Microsoft YaHei"/>
          <w:color w:val="333333"/>
        </w:rPr>
        <w:t>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五、办学类型  </w:t>
      </w:r>
      <w:r>
        <w:rPr>
          <w:rFonts w:ascii="Microsoft YaHei" w:eastAsia="Microsoft YaHei" w:hAnsi="Microsoft YaHei" w:cs="Microsoft YaHei"/>
          <w:color w:val="333333"/>
        </w:rPr>
        <w:t>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六、主管部门  </w:t>
      </w:r>
      <w:r>
        <w:rPr>
          <w:rFonts w:ascii="Microsoft YaHei" w:eastAsia="Microsoft YaHei" w:hAnsi="Microsoft YaHei" w:cs="Microsoft YaHei"/>
          <w:color w:val="333333"/>
        </w:rPr>
        <w:t>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七、颁发学历证书的学校名称  </w:t>
      </w:r>
      <w:r>
        <w:rPr>
          <w:rFonts w:ascii="Microsoft YaHei" w:eastAsia="Microsoft YaHei" w:hAnsi="Microsoft YaHei" w:cs="Microsoft YaHei"/>
          <w:color w:val="333333"/>
        </w:rPr>
        <w:t>甘肃卫生职业学院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八、学校地址</w:t>
      </w:r>
      <w:r>
        <w:rPr>
          <w:rFonts w:ascii="Microsoft YaHei" w:eastAsia="Microsoft YaHei" w:hAnsi="Microsoft YaHei" w:cs="Microsoft YaHei"/>
          <w:color w:val="333333"/>
        </w:rPr>
        <w:t>  兰州新区职教园区九龙江街1666号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依据甘肃省教育厅有关规定和要求，根据学校办学条件、专业设置和社会对毕业生的需求，编制学校2023年招生计划。</w:t>
      </w:r>
    </w:p>
    <w:p>
      <w:pPr>
        <w:pBdr>
          <w:top w:val="none" w:sz="0" w:space="0" w:color="auto"/>
          <w:left w:val="none" w:sz="0" w:space="0" w:color="auto"/>
          <w:bottom w:val="none" w:sz="0" w:space="0" w:color="auto"/>
          <w:right w:val="none" w:sz="0" w:space="0" w:color="auto"/>
        </w:pBdr>
        <w:tabs>
          <w:tab w:val="left" w:pos="480"/>
        </w:tabs>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外语语种要求  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十一、男女生比例要求</w:t>
      </w:r>
      <w:r>
        <w:rPr>
          <w:rFonts w:ascii="Microsoft YaHei" w:eastAsia="Microsoft YaHei" w:hAnsi="Microsoft YaHei" w:cs="Microsoft YaHei"/>
          <w:color w:val="333333"/>
        </w:rPr>
        <w:t>  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十二、身体健康要求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按照教育部、国家卫生健康委员会、中国残疾人联合会印发的《普通高等学校招生体检工作指导意见》及有关补充规定执行。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十三、录取规则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（一）学校招生工作严格按照实施“阳光工程”的要求，在甘肃省教育考试院的领导下，实行“院校负责，省考试院监督”的录取原则进行录取。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（二）学校根据甘肃省教育考试院投档规则调阅考生电子档案，实行远程网上录取。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中职毕业生升学考试考生的投档成绩相同时，以考生专业基础成绩高低排序进行录取，如考生专业基础成绩仍相同，则以考生公共基础成绩高低排序进行录取。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三）对于进档考生按照“分数优先，遵循志愿”的原则进行专业分配。如第一专业志愿不能满足，则按其第二专业志愿安排专业，仍不能满足则按其第三专业志愿安排专业，依次类推。如考生投档成绩相同，文理科考生依据投档排序确定专业；中职毕业生升学考试考生则按专业基础成绩高低排序确定专业。若所有专业志愿均不能满足但服从调剂者，可录取到计划未满额的专业；不服从调剂者，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（四）录取时应届考生、往届考生同等对待。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（五）农村免费医学生专项计划、建档立卡贫困家庭学生专项计划、少数民族紧缺人才专项计划等类型的招生工作按照甘肃省教育厅、甘肃省教育考试院等上级部门有关招生政策执行。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（六）农村免费医学生专项计划学生须持与市（州）卫生健康行政部门确定的县级卫生健康行政部门签署的定向就业协议报到，不按要求签订就业协议的考生按放弃入学资格处理。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（七）学校招生工作接受纪检监察部门、新闻媒体、考生、家长及社会各界的监督。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十四、新生入学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（一）新生持《录取通知书》按照《新生入学须知》要求到校报到。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二）学校在新生入学后按照国家和学校规定进行入学资格复查。若发现学生个人信息与录取时所提供的高考电子档案不符（包含个人基本信息、既往病史和身体健康状况等），经学校查实属弄虚作假者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十五、录取结果查询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录取结果按照甘肃省教育考试院规定的形式公布，考生也可登录甘肃省教育考试院网站查询。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十六、学费、公寓住宿费、住宿地点及住宿条件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（一）学费收取标准（甘发改收费【2016】1133号文）：4500元/学年。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（二）公寓住宿费收取标准（甘发改收费【2016】1133号文）：1100元/学年。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（三）住宿地点：兰州新区职教园区九龙江街1666号。</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（四）住宿条件：4人/间，上床下桌。</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十七、奖、助学金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国家奖学金8000元，国家励志奖学金5000元，根据国家政策和学生在校考核成绩评定。国家助学金分2300元、3300元、4300元三个等级，根据国家助学政策评定。学校奖学金分1000元、1200元、1600元三个等级，根据学生每学年综合考评成绩按比例择优评定。</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十八、国家助学贷款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需要办理助学贷款的学生持学校录取通知书到生源地所在县区教育局申请国家生源地助学贷款。学生每人每年申请贷款额度不超过12000元，申请的国家助学贷款应优先用于支付在校期间学费和住宿费，超出部分可用于弥补日常生活费。</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十九、</w:t>
      </w:r>
      <w:r>
        <w:rPr>
          <w:rFonts w:ascii="Microsoft YaHei" w:eastAsia="Microsoft YaHei" w:hAnsi="Microsoft YaHei" w:cs="Microsoft YaHei"/>
          <w:color w:val="333333"/>
        </w:rPr>
        <w:t>学校以往发布的有关招生工作要求、规定等如与本章程有冲突，以本章程为准，原要求、规定即时废止。本章程若与国家法律、法规、规范和上级有关政策相抵触，以国家法律、法规、规范和上级有关政策为准。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二十、</w:t>
      </w:r>
      <w:r>
        <w:rPr>
          <w:rFonts w:ascii="Microsoft YaHei" w:eastAsia="Microsoft YaHei" w:hAnsi="Microsoft YaHei" w:cs="Microsoft YaHei"/>
          <w:color w:val="333333"/>
        </w:rPr>
        <w:t>学校不委托任何机构和个人办理招生相关事宜。对假冒甘肃卫生职业学院名义进行非法招生、宣传等活动的机构或个人，学校将依法追究其法律责任。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二十一、联系方式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联系部门：甘肃卫生职业学院招生办公室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联系电话：0931—8265936  8260079</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（暑假） 17318715919  18119355919</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学校网址：http://www.gswzy.com.cn/</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学校招生网网址：http://www.gswx.com.cn/zszt/index.htm</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b/>
          <w:bCs/>
          <w:color w:val="333333"/>
        </w:rPr>
        <w:t>二十二、本章程由甘肃卫生职业学院招生办公室负责解释。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甘肃卫生职业学院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jc w:val="left"/>
        <w:rPr>
          <w:rFonts w:ascii="Microsoft YaHei" w:eastAsia="Microsoft YaHei" w:hAnsi="Microsoft YaHei" w:cs="Microsoft YaHei"/>
          <w:color w:val="333333"/>
        </w:rPr>
      </w:pPr>
      <w:r>
        <w:rPr>
          <w:rFonts w:ascii="Microsoft YaHei" w:eastAsia="Microsoft YaHei" w:hAnsi="Microsoft YaHei" w:cs="Microsoft YaHei"/>
          <w:color w:val="333333"/>
        </w:rPr>
        <w:t>2023年4月25日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69.html" TargetMode="External" /><Relationship Id="rId11" Type="http://schemas.openxmlformats.org/officeDocument/2006/relationships/hyperlink" Target="http://www.gk114.com/a/gxzs/zszc/gansu/2023/0515/27668.html" TargetMode="External" /><Relationship Id="rId12" Type="http://schemas.openxmlformats.org/officeDocument/2006/relationships/hyperlink" Target="http://www.gk114.com/a/gxzs/zszc/gansu/2023/0515/27667.html" TargetMode="External" /><Relationship Id="rId13" Type="http://schemas.openxmlformats.org/officeDocument/2006/relationships/hyperlink" Target="http://www.gk114.com/a/gxzs/zszc/gansu/2023/0515/27666.html" TargetMode="External" /><Relationship Id="rId14" Type="http://schemas.openxmlformats.org/officeDocument/2006/relationships/hyperlink" Target="http://www.gk114.com/a/gxzs/zszc/gansu/2023/0515/27662.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3.html" TargetMode="External" /><Relationship Id="rId5" Type="http://schemas.openxmlformats.org/officeDocument/2006/relationships/hyperlink" Target="http://www.gk114.com/a/gxzs/zszc/gansu/2023/0515/2767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2.html" TargetMode="External" /><Relationship Id="rId8" Type="http://schemas.openxmlformats.org/officeDocument/2006/relationships/hyperlink" Target="http://www.gk114.com/a/gxzs/zszc/gansu/2023/0515/27671.html" TargetMode="External" /><Relationship Id="rId9" Type="http://schemas.openxmlformats.org/officeDocument/2006/relationships/hyperlink" Target="http://www.gk114.com/a/gxzs/zszc/gansu/2023/0515/276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