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甘肃林业职业技术学院</w:t>
      </w:r>
      <w:r>
        <w:rPr>
          <w:rFonts w:ascii="Times New Roman" w:eastAsia="Times New Roman" w:hAnsi="Times New Roman" w:cs="Times New Roman"/>
          <w:kern w:val="36"/>
          <w:sz w:val="48"/>
          <w:szCs w:val="48"/>
        </w:rPr>
        <w:t xml:space="preserve"> 2021</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以习近平新时代中国特色社会主义思想为指导，深入贯彻党的十九大和十九届二中三中四中五中全会精神，全面落实全国教育大会精神，贯彻党的教育方针，选拔和培养德智体美劳全面发展的社会主义建设者和接班人，根据《中华人民共和国教育法》《中华人民共和国高等教育法》《国务院关于深化考试招生制度改革的实施意见》（国发〔2014〕35号）、《教育部关于做好2021年普通高校招生工作的通知》（教学〔2021〕1号）《关于做好2021年甘肃省高等职业教育考试招生工作的通知》（甘招委发〔2021〕5号）等文件精神，按照稳中求进的工作总基调，进一步推动改革创新，规范管理，确保考试招生工作公平公正，结合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按照“公开程序、公平竞争、公正选拔，全面考核、综合评价、择优录取”的原则开展招生工作。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本章程仅适用学院全日制普通专科（高职）招生工作（不含高职扩招）。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学院名称：甘肃林业职业技术学院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英文译名：Gansu Forestry Polytechnic。</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学院代码：12835。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学习形式：学制三年，全日制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办学地址：甘肃省天水市麦积区麦积大道200号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办学实力：学院创建于1956年，2001年升格为高职学院，2007年被教育部、财政部确定为100所全国示范性高等职业院校之一，2019年被教育部确定为200所国家优质专科高等职业院校之一。2021年被甘肃省确定为省级高水平高等职业学校建设单位。学院现占地面积700亩，建筑面积24.2万平方米，在麦积山风景区建有3700亩的实习林场，校内外实习实训基地600多处。现有教职工581人，其中专任教师508人，双师型教师209人，教授39人，副教授152人。学院现有林业技术等国家示范校重点建设专业4个，国家级骨干专业3个，国家级生产性实训基地3个，国家级协同创新中心1个，国家级示范职教集团1个、高等职业院校提升专业服务产业发展能力建设专业2个，全国职业院校林草类重点专业1个，省级名师工作室6个。学院围绕“一带一路”、国家生态安全屏障、乡村振兴、十大生态产业等重大战略需求，设有林业工程、园林工程、环境工程、测绘工程、信息工程、建筑工程、经济管理、机电工程、交通工程等9个二级学院和本科部（甘肃农业大学园林工程学院），开设49个专科专业，6个本科专业，全日制在校生12000余人。多年来，学院的建设、发展始终与国家和民族的命运紧紧地联系在一起，在艰苦、执着的办学历程中，逐步形成了“艰苦奋斗、无私奉献、爱校如家”的优良传统，“砥砺学行，自强不息”的校训，“创新带动、特色发展、质量提升、服务社会”的办学理念，“抢抓机遇、开拓创新、追求卓越”的学院精神，“风清气正、心齐劲足”的学院氛围，“坚持以立德树人为根本任务，以培养高素质技能人才为目标，以教学为中心，以服务为宗旨，以就业为导向，走产学研结合的发展道路”的办学方针。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学院成立招生工作领导小组，由院领导、分管院领导、招生就业处、教务处、纪检监察等部门及人员构成，对招生工作进行建议、指导和监督。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招生工作领导小组是招生议事决策机构，对学院招生工作进行全面指导，对招生章程、招生计划、录取规则等方面的重要事项进行集体决策，研究部署上级招生主管部门安排的有关工作。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招生办公室在招生工作领导小组的全面领导下，负责日常工作的执行和落实。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学院招生类型：有普通高中生综合评价录取、中职升学考试录取、五年一贯制转段录取和普通高考录取等四种形式。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学院招生录取工作在上级行政部门以及各省(自治区、直辖市)招生委员会（考试院、招生办公室）统一组织下进行。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学院招生计划以各省（市、区）教育考试院或招生办公室公布计划为准，通过各省（市、自治区）招生主管部门、学院招生简章、学院招生服务网、学院微信公众平台等渠道向社会公布。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学院对考生的体检要求按照教育部、卫生部、中国残疾人联合会印发的《普通高等学校招生体检工作指导意见》及有关补充规定执行。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学院同意并执行各省（区、市）教育行政部门、招生考试机构有关加分投档的政策规定。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普通高考录取按照各省（市、自治区）规定批次及办法进行录取。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甘肃省高等职业教育考试招生按照《关于做好2021年甘肃省高等职业教育考试招生工作的通知》执行。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 按照各省（市、自治区）规定批次进行录取；学校分为高职(专科)批特殊类、高职(专科)批普通文理、高职(专科)批其他、艺术类高职(专科)批次录取。录取工作本着“尊重志愿，分数优先”的原则，按照省级教育考试院所公布的最低录取控制线及投档原则，遵循“平行志愿投档”投档方式，按实际投档情况进行录取，经首轮投档后仍未满足招生计划，则按重新征集志愿再投档，直到满足专业招生计划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艺术（美术）类招生：艺术类（美术）考生的专业课成绩统一使用省内统考成绩。考生文化成绩、专业考试成绩均达到合格线的情况下，按照专业考试成绩从高分到低分录取。如出现专业成绩相同的情况，则按照文化成绩由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中职生对口升学考试招生：按照甘肃省中等职业学校八个专业类别分别录取，录取规则见第二十三条。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中高职一体化五年一贯制转段考试招生：坚持德智体全面考核、综合评价、将过程性考核与学期考试考核相结合的原则，由我院和合作中职学校共同制定的中高职衔接贯通人才培养方案所列课程为准，根据专业学生综合文化素质、专业基础能力和德育方面的表现，结合中职学校实际教学内容确定。组织学生参加转段升学考核，择优录取。各中职学校按签订协议中的专业和实际人数组织报名，录取人数以测试结束后实际录取人数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录取结果由各省（市、自治区）教育考试院通过网络或有关媒体向社会公布，学校邮寄录取通知书。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收费及奖助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根据甘肃省物价局、财政厅、省教委甘价费[1999]179号、甘发改收费[2016]645号文件，结合考生家庭经济状况确定学费标准为：4500元/学年；住宿费：700元/学年。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奖助贷政策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获国家奖学金者8000元／学年，国家励志奖学金者5000元/学年，国家助学金3000元/学年；国家级和学院奖学金受奖面近50%;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每年评定三好学生标兵、三好学生、优秀学生干部标兵、优秀学生干部、百名学习标兵、百名技能明星、特殊贡献奖及校企合作奖助学金；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对经济困难的学生，采取生源地助学贷款、勤工助学、困难补助、学费减免、爱心基金等形式给予资助；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对品学兼优、家庭经济困难的学生，学院还设立一定的专项奖助学金。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学院招生工作领导小组、纪检监察部门全程参与监督招生工作。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学院以“公开报名条件，公开录取标准，公开录取结果”的方式，接受社会各界监督。监督电话：0938-2110805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通过综合评价、中高职“五年一贯制”转段、中职升学考试招生录取进入学院的考生，在学费、住宿费、困难学生资助、奖学金、助学金、日常教学管理和毕业证书等方面与参加普通高考录取的学生完全一致。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第三十三条  </w:t>
      </w:r>
      <w:r>
        <w:rPr>
          <w:rFonts w:ascii="Microsoft YaHei" w:eastAsia="Microsoft YaHei" w:hAnsi="Microsoft YaHei" w:cs="Microsoft YaHei"/>
          <w:color w:val="666666"/>
          <w:sz w:val="21"/>
          <w:szCs w:val="21"/>
        </w:rPr>
        <w:t>新生入学后，学院将对已录取报到的新生进行全面复查和体检，对其中不符合条件或弄虚作假、违规舞弊者，一律取消其入学资格，退回生源地，并报相关机构备案。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color w:val="666666"/>
          <w:sz w:val="21"/>
          <w:szCs w:val="21"/>
        </w:rPr>
        <w:t>  本章程若与国家法律、法规、规范和上级有关政策不符之处，以国家法律、法规、规范和上级有关政策为准。学院以往有关招生工作的要求、规定如与本章程有不一致之处，以本章程为准，原政策、规定即时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w:t>
      </w:r>
      <w:r>
        <w:rPr>
          <w:rFonts w:ascii="Microsoft YaHei" w:eastAsia="Microsoft YaHei" w:hAnsi="Microsoft YaHei" w:cs="Microsoft YaHei"/>
          <w:color w:val="666666"/>
          <w:sz w:val="21"/>
          <w:szCs w:val="21"/>
        </w:rPr>
        <w:t>  学院招生宣传须经招生工作处批准后方可实施。凡未经招生就业处授权，私自宣传导致的招生问题，后果由宣传单位自负。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第三十六条</w:t>
      </w:r>
      <w:r>
        <w:rPr>
          <w:rFonts w:ascii="Microsoft YaHei" w:eastAsia="Microsoft YaHei" w:hAnsi="Microsoft YaHei" w:cs="Microsoft YaHei"/>
          <w:color w:val="666666"/>
          <w:sz w:val="21"/>
          <w:szCs w:val="21"/>
        </w:rPr>
        <w:t>  本章程解释权属学院招生就业处。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第三十七条</w:t>
      </w:r>
      <w:r>
        <w:rPr>
          <w:rFonts w:ascii="Microsoft YaHei" w:eastAsia="Microsoft YaHei" w:hAnsi="Microsoft YaHei" w:cs="Microsoft YaHei"/>
          <w:color w:val="666666"/>
          <w:sz w:val="21"/>
          <w:szCs w:val="21"/>
        </w:rPr>
        <w:t>  本章程自批准签发之日起生效执行。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20005.html" TargetMode="External" /><Relationship Id="rId5" Type="http://schemas.openxmlformats.org/officeDocument/2006/relationships/hyperlink" Target="http://www.gk114.com/a/gxzs/zszc/gansu/2021/0622/2000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