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石河子工程职业技术学院招生章程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根据《中华人民共和国教育法》、《中华人民共和国高等教育法》和教育部门有关招生工作的规定，为了维护学院和考生的合法权益，依法招生，规范招生，现结合学院实际，特制定本章程。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学院名称：石河子工程职业技术学院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办学层次：普通高职</w:t>
      </w:r>
      <w:r>
        <w:rPr>
          <w:rFonts w:ascii="Times New Roman" w:eastAsia="Times New Roman" w:hAnsi="Times New Roman" w:cs="Times New Roman"/>
        </w:rPr>
        <w:t xml:space="preserve">  </w:t>
      </w:r>
      <w:r>
        <w:rPr>
          <w:rFonts w:ascii="SimSun" w:eastAsia="SimSun" w:hAnsi="SimSun" w:cs="SimSun"/>
        </w:rPr>
        <w:t>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院校地址：新疆石河子市北工业园区北十二路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4165014661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石河子工程职业技术学院坐落在新疆天山北麓、素有</w:t>
      </w:r>
      <w:r>
        <w:rPr>
          <w:rFonts w:ascii="Times New Roman" w:eastAsia="Times New Roman" w:hAnsi="Times New Roman" w:cs="Times New Roman"/>
        </w:rPr>
        <w:t>“</w:t>
      </w:r>
      <w:r>
        <w:rPr>
          <w:rFonts w:ascii="SimSun" w:eastAsia="SimSun" w:hAnsi="SimSun" w:cs="SimSun"/>
        </w:rPr>
        <w:t>戈壁明珠</w:t>
      </w:r>
      <w:r>
        <w:rPr>
          <w:rFonts w:ascii="Times New Roman" w:eastAsia="Times New Roman" w:hAnsi="Times New Roman" w:cs="Times New Roman"/>
        </w:rPr>
        <w:t>”</w:t>
      </w:r>
      <w:r>
        <w:rPr>
          <w:rFonts w:ascii="SimSun" w:eastAsia="SimSun" w:hAnsi="SimSun" w:cs="SimSun"/>
        </w:rPr>
        <w:t>之称的石河子市。学院占地面积</w:t>
      </w:r>
      <w:r>
        <w:rPr>
          <w:rFonts w:ascii="Times New Roman" w:eastAsia="Times New Roman" w:hAnsi="Times New Roman" w:cs="Times New Roman"/>
        </w:rPr>
        <w:t>555</w:t>
      </w:r>
      <w:r>
        <w:rPr>
          <w:rFonts w:ascii="SimSun" w:eastAsia="SimSun" w:hAnsi="SimSun" w:cs="SimSun"/>
        </w:rPr>
        <w:t>亩，教职工</w:t>
      </w:r>
      <w:r>
        <w:rPr>
          <w:rFonts w:ascii="Times New Roman" w:eastAsia="Times New Roman" w:hAnsi="Times New Roman" w:cs="Times New Roman"/>
        </w:rPr>
        <w:t>260</w:t>
      </w:r>
      <w:r>
        <w:rPr>
          <w:rFonts w:ascii="SimSun" w:eastAsia="SimSun" w:hAnsi="SimSun" w:cs="SimSun"/>
        </w:rPr>
        <w:t>人，高级职称占</w:t>
      </w:r>
      <w:r>
        <w:rPr>
          <w:rFonts w:ascii="Times New Roman" w:eastAsia="Times New Roman" w:hAnsi="Times New Roman" w:cs="Times New Roman"/>
        </w:rPr>
        <w:t>37%</w:t>
      </w:r>
      <w:r>
        <w:rPr>
          <w:rFonts w:ascii="SimSun" w:eastAsia="SimSun" w:hAnsi="SimSun" w:cs="SimSun"/>
        </w:rPr>
        <w:t>，中级职称占</w:t>
      </w:r>
      <w:r>
        <w:rPr>
          <w:rFonts w:ascii="Times New Roman" w:eastAsia="Times New Roman" w:hAnsi="Times New Roman" w:cs="Times New Roman"/>
        </w:rPr>
        <w:t>58%</w:t>
      </w:r>
      <w:r>
        <w:rPr>
          <w:rFonts w:ascii="SimSun" w:eastAsia="SimSun" w:hAnsi="SimSun" w:cs="SimSun"/>
        </w:rPr>
        <w:t>，双师型教师占</w:t>
      </w:r>
      <w:r>
        <w:rPr>
          <w:rFonts w:ascii="Times New Roman" w:eastAsia="Times New Roman" w:hAnsi="Times New Roman" w:cs="Times New Roman"/>
        </w:rPr>
        <w:t>52%</w:t>
      </w:r>
      <w:r>
        <w:rPr>
          <w:rFonts w:ascii="SimSun" w:eastAsia="SimSun" w:hAnsi="SimSun" w:cs="SimSun"/>
        </w:rPr>
        <w:t>。建筑面积</w:t>
      </w:r>
      <w:r>
        <w:rPr>
          <w:rFonts w:ascii="Times New Roman" w:eastAsia="Times New Roman" w:hAnsi="Times New Roman" w:cs="Times New Roman"/>
        </w:rPr>
        <w:t>7.6</w:t>
      </w:r>
      <w:r>
        <w:rPr>
          <w:rFonts w:ascii="SimSun" w:eastAsia="SimSun" w:hAnsi="SimSun" w:cs="SimSun"/>
        </w:rPr>
        <w:t>万余平方米，图书资料</w:t>
      </w:r>
      <w:r>
        <w:rPr>
          <w:rFonts w:ascii="Times New Roman" w:eastAsia="Times New Roman" w:hAnsi="Times New Roman" w:cs="Times New Roman"/>
        </w:rPr>
        <w:t>15</w:t>
      </w:r>
      <w:r>
        <w:rPr>
          <w:rFonts w:ascii="SimSun" w:eastAsia="SimSun" w:hAnsi="SimSun" w:cs="SimSun"/>
        </w:rPr>
        <w:t>万册，教学、生活、文化、娱乐等设施一应俱全。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环境优美，现代化的图书馆、教学楼、文体活动中心、兵团职业教育产业园等设施一应俱全，为学生提供了良好的学习生活条件。现有土木水利类、加工制造类、交通运输类、轻纺食品类、财经商贸类、石油化工类等</w:t>
      </w:r>
      <w:r>
        <w:rPr>
          <w:rFonts w:ascii="Times New Roman" w:eastAsia="Times New Roman" w:hAnsi="Times New Roman" w:cs="Times New Roman"/>
        </w:rPr>
        <w:t>6</w:t>
      </w:r>
      <w:r>
        <w:rPr>
          <w:rFonts w:ascii="SimSun" w:eastAsia="SimSun" w:hAnsi="SimSun" w:cs="SimSun"/>
        </w:rPr>
        <w:t>大类</w:t>
      </w:r>
      <w:r>
        <w:rPr>
          <w:rFonts w:ascii="Times New Roman" w:eastAsia="Times New Roman" w:hAnsi="Times New Roman" w:cs="Times New Roman"/>
        </w:rPr>
        <w:t>21</w:t>
      </w:r>
      <w:r>
        <w:rPr>
          <w:rFonts w:ascii="SimSun" w:eastAsia="SimSun" w:hAnsi="SimSun" w:cs="SimSun"/>
        </w:rPr>
        <w:t>个中高职专业。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学院现有一个产业园区，有</w:t>
      </w:r>
      <w:r>
        <w:rPr>
          <w:rFonts w:ascii="Times New Roman" w:eastAsia="Times New Roman" w:hAnsi="Times New Roman" w:cs="Times New Roman"/>
        </w:rPr>
        <w:t>6</w:t>
      </w:r>
      <w:r>
        <w:rPr>
          <w:rFonts w:ascii="SimSun" w:eastAsia="SimSun" w:hAnsi="SimSun" w:cs="SimSun"/>
        </w:rPr>
        <w:t>家企业入驻。拥有</w:t>
      </w:r>
      <w:r>
        <w:rPr>
          <w:rFonts w:ascii="Times New Roman" w:eastAsia="Times New Roman" w:hAnsi="Times New Roman" w:cs="Times New Roman"/>
        </w:rPr>
        <w:t>3D</w:t>
      </w:r>
      <w:r>
        <w:rPr>
          <w:rFonts w:ascii="SimSun" w:eastAsia="SimSun" w:hAnsi="SimSun" w:cs="SimSun"/>
        </w:rPr>
        <w:t>打印实训室，机器人实训室；无人机研发企业一家；北斗导航中心；服装自动化实训中心。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学院以就业为导向，以培养高素质技能型专门人才为己任，突出实际动手能力。学院重视校企合作，我院为兵团工程职业教育集团理事长单位，与疆内、外</w:t>
      </w:r>
      <w:r>
        <w:rPr>
          <w:rFonts w:ascii="Times New Roman" w:eastAsia="Times New Roman" w:hAnsi="Times New Roman" w:cs="Times New Roman"/>
        </w:rPr>
        <w:t>60</w:t>
      </w:r>
      <w:r>
        <w:rPr>
          <w:rFonts w:ascii="SimSun" w:eastAsia="SimSun" w:hAnsi="SimSun" w:cs="SimSun"/>
        </w:rPr>
        <w:t>多家企业长期合作，积极开展订单教育，毕业生就业供不应求，我院具有较高的社会知名度。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由院领导和相关职能部门、学院负责人、教师和学生代表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学院招生委员会下设招生办公室，招生办公室在学院招生委员会的领导下开展招生的具体工作，并接受学院纪检委的全程监督。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w:t>
      </w:r>
      <w:r>
        <w:rPr>
          <w:rFonts w:ascii="Times New Roman" w:eastAsia="Times New Roman" w:hAnsi="Times New Roman" w:cs="Times New Roman"/>
        </w:rPr>
        <w:t>7</w:t>
      </w:r>
      <w:r>
        <w:rPr>
          <w:rFonts w:ascii="SimSun" w:eastAsia="SimSun" w:hAnsi="SimSun" w:cs="SimSun"/>
        </w:rPr>
        <w:t>个省、自治区、直辖市的分专业招生计划。并按照教育部核准下达的具体招生专业、招生人数，在规定时间内寄送到各省、自治区、直辖市招生委员会，向社会公布；同时还将通过其它方式向社会公布。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在招生录取过程中，经学院招生委员会同意，并报上级主管部门批准，对生源好、志愿满、录取分数高的省、自治区、直辖市的招生计划在次年作适当调整。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学院所招收各专业收费标准详见当年省、自治区、直辖市招生办公布的招生计划表或学院下发的当年新生报到须知。如有调整，以新疆物价局当年文件为准。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公正、公开的原则；执行国家教育部门和各省、自治区、直辖市招生委员会指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普通类专业录取以高考总成绩优先为原则，即先按高分到低分排列，依次按照考生填报的专业志愿顺序录取。在高考总成绩相同情况下，文科考生优先录取语文、文综分数高的考生，理科考生优先录取数学、理综分数高的考生；民考汉考生优先录取语文、数学、英语分数高的考生；所有志愿都无法满足的，如果服从调剂，将由学院调剂录取到相应专业，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报考我院文理科各专业普通双语班考生，数学单科成绩不低于</w:t>
      </w:r>
      <w:r>
        <w:rPr>
          <w:rFonts w:ascii="Times New Roman" w:eastAsia="Times New Roman" w:hAnsi="Times New Roman" w:cs="Times New Roman"/>
        </w:rPr>
        <w:t>15</w:t>
      </w:r>
      <w:r>
        <w:rPr>
          <w:rFonts w:ascii="SimSun" w:eastAsia="SimSun" w:hAnsi="SimSun" w:cs="SimSun"/>
        </w:rPr>
        <w:t>分（含</w:t>
      </w:r>
      <w:r>
        <w:rPr>
          <w:rFonts w:ascii="Times New Roman" w:eastAsia="Times New Roman" w:hAnsi="Times New Roman" w:cs="Times New Roman"/>
        </w:rPr>
        <w:t>15</w:t>
      </w:r>
      <w:r>
        <w:rPr>
          <w:rFonts w:ascii="SimSun" w:eastAsia="SimSun" w:hAnsi="SimSun" w:cs="SimSun"/>
        </w:rPr>
        <w:t>分），其他语种文理科各专业普通考生数学单科成绩不低于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学院执行教育部、卫生部、中国残疾人联合会颁布的《普通高等学院招生体检工作指导意愿》。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非英语专业语种的公共课程均为大学英语，小语种考生慎重填报。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国家招生规定录取的新生，须持我院录取通知书和相关身份证件，按照学院规定的期限到校办理报到入学手续。因病或其他特殊原因，不能按期报到者，应当以书面形式向学院招生就业处和学生工作处申请延期报到（延期一般不得超过两周），经批准后方可有效。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石河子工程职业技术学院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新生保留入学资格期满前应向学院申请入学，经学院审查合格后，办理入学手续。审查不合格的，取消入学资格；逾期不办理入学手续且未有因不可抗力延迟等正当理由的，视为放弃入学资格。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学生入学后，学院将在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个月内按照国家招生规定进行复查。复查中发现学生存在弄虚作假、徇私舞弊等情形的，确定为复查不合格，将取消学籍；情节严重的，学院将移交有关部门调查处理。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毕业与结业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学生在学院规定的学习年限内，修完教育教学计划规定内容且成绩合格，德、智、体达到毕业要求，获得一种</w:t>
      </w:r>
      <w:r>
        <w:rPr>
          <w:rFonts w:ascii="Times New Roman" w:eastAsia="Times New Roman" w:hAnsi="Times New Roman" w:cs="Times New Roman"/>
        </w:rPr>
        <w:t>(</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职业资格证书以上，准予毕业，由学院发给毕业证书。具体办法按照学院</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制度管理规定执行。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未达到毕业要求的，准予结业，由学院发给结业证书。结业后可以补考、重修或者补做毕业设计、论文、答辩，成绩合格后颁发毕业证书，具体办法按照学院学生学籍成绩管理实施细则中的相关规定执行。对合格后颁发的毕业证书，毕业时间按发证日期填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注册后，学院依据教育部颁布的《普通高等学院学生管理规定》精神，严格执行《石河子工程职业技术学院学生手册》中一系列规章制度进行管理；教学上严格按照教育部制定的高职高专教学大纲制定教学计划，有步骤地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设立多种形式的奖、助学金，包括：国家奖学金、国家励志奖学金、国家助学金、自治区人民政府高校助学金、自治区人民政府高校励志奖学金，学院奖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学院对学生实行人格培养工程，开设就业指导、就业生涯规划等课程，开设大学生心理健康教育、诚信教育等，使大学生得到全面发展。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部分专业优秀毕业生可通过相关考试升入本科院校相近专业继续学习两年，可取得本科院校毕业证书和本科院校学位证书。相关政策参照《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本章程经学院院长办公室审议通过，并报上级教育主管部门审核。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本章程自公布之日起开始执行。凡学院之前出台的有关招生政策、规定与本章程不一致的，均以本章程规定为准。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本章程由学院招生办公室负责解释，在招生咨询期间本院咨询人员的意见、建议仅作为考生填报志愿的参考，不属学院录取承诺，政策以文字表述为准。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录取结果公布渠道：录取结果通过自治区招生办公室网站、咨询电话、学院邮寄录取通知书公布。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http://www.shzvce.cn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0993—2251022</w:t>
      </w:r>
      <w:r>
        <w:rPr>
          <w:rFonts w:ascii="SimSun" w:eastAsia="SimSun" w:hAnsi="SimSun" w:cs="SimSun"/>
        </w:rPr>
        <w:t>、</w:t>
      </w:r>
      <w:r>
        <w:rPr>
          <w:rFonts w:ascii="Times New Roman" w:eastAsia="Times New Roman" w:hAnsi="Times New Roman" w:cs="Times New Roman"/>
        </w:rPr>
        <w:t xml:space="preserve">0993—2250461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0993—2250461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2.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1.html" TargetMode="External" /><Relationship Id="rId5" Type="http://schemas.openxmlformats.org/officeDocument/2006/relationships/hyperlink" Target="http://www.gk114.com/a/gxzs/zszc/xinjiang/2019/0303/704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