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福建商学院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为了保证福建商学院</w:t>
      </w:r>
      <w:r>
        <w:rPr>
          <w:rFonts w:ascii="Times New Roman" w:eastAsia="Times New Roman" w:hAnsi="Times New Roman" w:cs="Times New Roman"/>
        </w:rPr>
        <w:t>2018</w:t>
      </w:r>
      <w:r>
        <w:rPr>
          <w:rFonts w:ascii="SimSun" w:eastAsia="SimSun" w:hAnsi="SimSun" w:cs="SimSun"/>
        </w:rPr>
        <w:t>年招生工作顺利进行，维护学校和考生合法权益，根据《中华人民共和国教育法》《中华人民共和国高等教育法》等相关文件精神，结合学校实际情况，制定本章程。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本章程适用于学校</w:t>
      </w:r>
      <w:r>
        <w:rPr>
          <w:rFonts w:ascii="Times New Roman" w:eastAsia="Times New Roman" w:hAnsi="Times New Roman" w:cs="Times New Roman"/>
        </w:rPr>
        <w:t>2018</w:t>
      </w:r>
      <w:r>
        <w:rPr>
          <w:rFonts w:ascii="SimSun" w:eastAsia="SimSun" w:hAnsi="SimSun" w:cs="SimSun"/>
        </w:rPr>
        <w:t>年全国统一高考招生录取工作。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学校招生工作贯彻</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学校招生工作主动接受纪检监察部门、新闻媒体、考生及其家长以及社会各界的监督。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学校全称：福建商学院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11313</w:t>
      </w:r>
      <w:r>
        <w:rPr>
          <w:rFonts w:ascii="SimSun" w:eastAsia="SimSun" w:hAnsi="SimSun" w:cs="SimSun"/>
        </w:rPr>
        <w:t>（全国代码）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办学类型：省属公办普通本科院校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鼓楼校区：福建省福州市鼓楼区黄铺</w:t>
      </w:r>
      <w:r>
        <w:rPr>
          <w:rFonts w:ascii="Times New Roman" w:eastAsia="Times New Roman" w:hAnsi="Times New Roman" w:cs="Times New Roman"/>
        </w:rPr>
        <w:t>19</w:t>
      </w:r>
      <w:r>
        <w:rPr>
          <w:rFonts w:ascii="SimSun" w:eastAsia="SimSun" w:hAnsi="SimSun" w:cs="SimSun"/>
        </w:rPr>
        <w:t>号（校本部）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连江校区：福建省福州市连江县潘渡乡连潘路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马尾校区：福建省福州市马尾区亭江镇亭江路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颁发学历证书的学校名称：福建商学院；颁发学历及学位证书种类：符合学校毕业条件的学生，颁发经教育部电子注册的普通高等学校毕业证书；符合学位授予规定的，授予相应的学位。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学校成立招生委员会和招生工作小组，负责审议制定招生政策、招生规模、招生计划，以及研究决定招生过程中的重大事宜。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招生办公室是学校组织和实施招生工作的常设机构，具体负责招生录取和日常工作。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学校建立和完善招生监督机制，明确监督举报渠道，严防招生权力寻租。学校纪委和招生监察小组对招生工作实施监督检查。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年具体招生专业及招生计划以各省教育考试院公布的信息为准。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年招生计划通过各省招生主管部门、学校招生简章、学校网站等形式向考生公布。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除商务日语、应用日语、国际金融（中德合作办学）专业外</w:t>
      </w:r>
      <w:r>
        <w:rPr>
          <w:rFonts w:ascii="Times New Roman" w:eastAsia="Times New Roman" w:hAnsi="Times New Roman" w:cs="Times New Roman"/>
        </w:rPr>
        <w:t>,</w:t>
      </w:r>
      <w:r>
        <w:rPr>
          <w:rFonts w:ascii="SimSun" w:eastAsia="SimSun" w:hAnsi="SimSun" w:cs="SimSun"/>
        </w:rPr>
        <w:t>其余专业以英语作为公共基础外语安排教学，即新生入学后，学校只安排英语语种课堂教学，请非英语语种的考生谨慎填报。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身体健康状况要求按教育部、卫生部、残疾人联合会印发的《普通高等学校招生体检工作指导意见》及《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号）执行。新生入学后三个月内，学校根据录取有关要求进行身体健康状况复检，凡不符合录取要求或弄虚作假的，依照教育部《普通高等学校学生管理规定》取消入学资格。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学校根据生源情况，按照各省（自治区）相关政策确定调阅考生档案比例。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学校认可考生所在地省级招生主管部门制订的有关加分政策，以加分后的投档成绩调配专业或计算综合分。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对普通文理专业的录取规则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（一）对文理科类实行按专业志愿出档方式出档的省份，按照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的原则录取，即按文化总分排序，从高到低录取。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（二）对文理科类实行按院校志愿出档方式出档的省份，专业志愿采用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的模式录取，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即专业志愿之间有先后顺序，先按第一专业志愿排序从高分到低分按计划录取，如有未完成计划的专业，则从未录取的考生所填报的第二专业志愿中从高分到低分排序录取，以此类推直到专业计划完成。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考生投档分相同的情况下，按照单科成绩从高分到低分顺序进行排序，单科成绩的排列顺序：文史类按照语文、文科综合、数学、外语；理工类按照数学、理科综合、语文、外语。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经过以上调配，仍有专业未录取满额的，再从愿意服从专业调剂志愿的考生中，按照分数从高到低，综合考虑考生填报的专业志愿类型、高中阶段综合素质、单科成绩、体检、特长等情况调配至录取未满专业；直至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所填报的专业都不能录取，且不愿意服从专业调剂的考生，作退档处理；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考生填报的专业志愿为体检结论受限的，学校可以结合其填报的专业志愿情况调配或调剂至体检结论不受限的专业；若考生填报的专业志愿均为体检结论受限专业，且不服从专业调剂的，学校不予录取。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艺术（美术）类考生：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（一）福建省考生：根据一档多投的规定，按照综合成绩从高分到低分进行预录取排序，综合成绩</w:t>
      </w:r>
      <w:r>
        <w:rPr>
          <w:rFonts w:ascii="Times New Roman" w:eastAsia="Times New Roman" w:hAnsi="Times New Roman" w:cs="Times New Roman"/>
        </w:rPr>
        <w:t>=</w:t>
      </w:r>
      <w:r>
        <w:rPr>
          <w:rFonts w:ascii="SimSun" w:eastAsia="SimSun" w:hAnsi="SimSun" w:cs="SimSun"/>
        </w:rPr>
        <w:t>高考文考总分</w:t>
      </w:r>
      <w:r>
        <w:rPr>
          <w:rFonts w:ascii="Times New Roman" w:eastAsia="Times New Roman" w:hAnsi="Times New Roman" w:cs="Times New Roman"/>
        </w:rPr>
        <w:t>×40%+</w:t>
      </w:r>
      <w:r>
        <w:rPr>
          <w:rFonts w:ascii="SimSun" w:eastAsia="SimSun" w:hAnsi="SimSun" w:cs="SimSun"/>
        </w:rPr>
        <w:t>省美术类专业统考成绩</w:t>
      </w:r>
      <w:r>
        <w:rPr>
          <w:rFonts w:ascii="Times New Roman" w:eastAsia="Times New Roman" w:hAnsi="Times New Roman" w:cs="Times New Roman"/>
        </w:rPr>
        <w:t>×2.5×60%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（二）其他省份考生：各省艺术类招生文件有明确规定综合成绩</w:t>
      </w:r>
      <w:r>
        <w:rPr>
          <w:rFonts w:ascii="Times New Roman" w:eastAsia="Times New Roman" w:hAnsi="Times New Roman" w:cs="Times New Roman"/>
        </w:rPr>
        <w:t>(</w:t>
      </w:r>
      <w:r>
        <w:rPr>
          <w:rFonts w:ascii="SimSun" w:eastAsia="SimSun" w:hAnsi="SimSun" w:cs="SimSun"/>
        </w:rPr>
        <w:t>投档成绩</w:t>
      </w:r>
      <w:r>
        <w:rPr>
          <w:rFonts w:ascii="Times New Roman" w:eastAsia="Times New Roman" w:hAnsi="Times New Roman" w:cs="Times New Roman"/>
        </w:rPr>
        <w:t>)</w:t>
      </w:r>
      <w:r>
        <w:rPr>
          <w:rFonts w:ascii="SimSun" w:eastAsia="SimSun" w:hAnsi="SimSun" w:cs="SimSun"/>
        </w:rPr>
        <w:t>计算办法的，按照各省文件执行；各省文件没有明确规定的，综合成绩按照以下公式计算：综合成绩</w:t>
      </w:r>
      <w:r>
        <w:rPr>
          <w:rFonts w:ascii="Times New Roman" w:eastAsia="Times New Roman" w:hAnsi="Times New Roman" w:cs="Times New Roman"/>
        </w:rPr>
        <w:t>=</w:t>
      </w:r>
      <w:r>
        <w:rPr>
          <w:rFonts w:ascii="SimSun" w:eastAsia="SimSun" w:hAnsi="SimSun" w:cs="SimSun"/>
        </w:rPr>
        <w:t>高考文考总分</w:t>
      </w:r>
      <w:r>
        <w:rPr>
          <w:rFonts w:ascii="Times New Roman" w:eastAsia="Times New Roman" w:hAnsi="Times New Roman" w:cs="Times New Roman"/>
        </w:rPr>
        <w:t>×40%+</w:t>
      </w:r>
      <w:r>
        <w:rPr>
          <w:rFonts w:ascii="SimSun" w:eastAsia="SimSun" w:hAnsi="SimSun" w:cs="SimSun"/>
        </w:rPr>
        <w:t>省美术类专业统考成绩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学校的学费和住宿费收费标准严格按照福建省物价局核定的收费标准执行。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（一）本科普通类专业收费标准：</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学年，艺术类专业收费标准：</w:t>
      </w:r>
      <w:r>
        <w:rPr>
          <w:rFonts w:ascii="Times New Roman" w:eastAsia="Times New Roman" w:hAnsi="Times New Roman" w:cs="Times New Roman"/>
        </w:rPr>
        <w:t>8400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学年，批准收费文号：闽价费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183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（二）专科普通类专业收费标准：</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学年，艺术类专业收费标准：</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学年，批准收费文号：闽价费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356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（三）软件高职收费标准：软件技术专业</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学年，动漫制作技术专业</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学年，计算机信息管理</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学年，批准收费文号：闽价费</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（四）闽台合作项目收费标准：工业工程技术专业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学年，批准收费文号：闽价费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196</w:t>
      </w:r>
      <w:r>
        <w:rPr>
          <w:rFonts w:ascii="SimSun" w:eastAsia="SimSun" w:hAnsi="SimSun" w:cs="SimSun"/>
        </w:rPr>
        <w:t>号；市场营销、物流管理专业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批准收费文号：闽价费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306</w:t>
      </w:r>
      <w:r>
        <w:rPr>
          <w:rFonts w:ascii="SimSun" w:eastAsia="SimSun" w:hAnsi="SimSun" w:cs="SimSun"/>
        </w:rPr>
        <w:t>号；电子商务专业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学年，批准收费文号：闽价费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307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（五）中外合作项目收费标准：中加合作，会计专业</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批准收费文号：闽价费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202</w:t>
      </w:r>
      <w:r>
        <w:rPr>
          <w:rFonts w:ascii="SimSun" w:eastAsia="SimSun" w:hAnsi="SimSun" w:cs="SimSun"/>
        </w:rPr>
        <w:t>号；中澳合作，会计专业</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批准收费文号：闽价费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285</w:t>
      </w:r>
      <w:r>
        <w:rPr>
          <w:rFonts w:ascii="SimSun" w:eastAsia="SimSun" w:hAnsi="SimSun" w:cs="SimSun"/>
        </w:rPr>
        <w:t>号；中德合作，国际金融专业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批准收费文号：闽价费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355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（六）住宿费收费标准：学生公寓住宿费按每人</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学年（六人间）或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学年（四人间）收取，批准收费文号：闽价费</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448</w:t>
      </w:r>
      <w:r>
        <w:rPr>
          <w:rFonts w:ascii="SimSun" w:eastAsia="SimSun" w:hAnsi="SimSun" w:cs="SimSun"/>
        </w:rPr>
        <w:t>号；安装空调的宿舍每人加收</w:t>
      </w:r>
      <w:r>
        <w:rPr>
          <w:rFonts w:ascii="Times New Roman" w:eastAsia="Times New Roman" w:hAnsi="Times New Roman" w:cs="Times New Roman"/>
        </w:rPr>
        <w:t>70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学年（六人间）或</w:t>
      </w:r>
      <w:r>
        <w:rPr>
          <w:rFonts w:ascii="Times New Roman" w:eastAsia="Times New Roman" w:hAnsi="Times New Roman" w:cs="Times New Roman"/>
        </w:rPr>
        <w:t>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学年（四人间），批准收费文号：闽价费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299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退费办法：按《关于规范高等学校和中等职业学校收费管理工作有关问题的通知》（闽价费</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435</w:t>
      </w:r>
      <w:r>
        <w:rPr>
          <w:rFonts w:ascii="SimSun" w:eastAsia="SimSun" w:hAnsi="SimSun" w:cs="SimSun"/>
        </w:rPr>
        <w:t>号）办理退费。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奖励和资助政策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优秀新生奖励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学校将根据录取情况择优给予新生入学奖励。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为了帮助家庭经济困难学生顺利完成学业，学校已建立国家奖学金、国家励志奖学金、国家助学金、优秀学生奖学金、国家助学贷款（生源地国家助学贷款）、勤工助学以及新生绿色通道等较为完善的资助体系。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学校原公布的有关招生工作的制度、规定如与本章程相冲突，以本章程为准；本章程若有与国家有关政策不一致之处，以国家和上级有关政策为准。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本章程由福建商学院负责解释。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福建商学院网址：</w:t>
      </w:r>
      <w:r>
        <w:rPr>
          <w:rFonts w:ascii="Times New Roman" w:eastAsia="Times New Roman" w:hAnsi="Times New Roman" w:cs="Times New Roman"/>
        </w:rPr>
        <w:t xml:space="preserve">www.fjcc.edu.cn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微信公众号：</w:t>
      </w:r>
      <w:r>
        <w:rPr>
          <w:rFonts w:ascii="Times New Roman" w:eastAsia="Times New Roman" w:hAnsi="Times New Roman" w:cs="Times New Roman"/>
        </w:rPr>
        <w:t xml:space="preserve">gh_a8fc121ae305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0591</w:t>
      </w:r>
      <w:r>
        <w:rPr>
          <w:rFonts w:ascii="SimSun" w:eastAsia="SimSun" w:hAnsi="SimSun" w:cs="SimSun"/>
        </w:rPr>
        <w:t>－</w:t>
      </w:r>
      <w:r>
        <w:rPr>
          <w:rFonts w:ascii="Times New Roman" w:eastAsia="Times New Roman" w:hAnsi="Times New Roman" w:cs="Times New Roman"/>
        </w:rPr>
        <w:t>26290052</w:t>
      </w:r>
      <w:r>
        <w:rPr>
          <w:rFonts w:ascii="SimSun" w:eastAsia="SimSun" w:hAnsi="SimSun" w:cs="SimSun"/>
        </w:rPr>
        <w:t>、</w:t>
      </w:r>
      <w:r>
        <w:rPr>
          <w:rFonts w:ascii="Times New Roman" w:eastAsia="Times New Roman" w:hAnsi="Times New Roman" w:cs="Times New Roman"/>
        </w:rPr>
        <w:t>88020051</w:t>
      </w:r>
      <w:r>
        <w:rPr>
          <w:rFonts w:ascii="SimSun" w:eastAsia="SimSun" w:hAnsi="SimSun" w:cs="SimSun"/>
        </w:rPr>
        <w:t>、</w:t>
      </w:r>
      <w:r>
        <w:rPr>
          <w:rFonts w:ascii="Times New Roman" w:eastAsia="Times New Roman" w:hAnsi="Times New Roman" w:cs="Times New Roman"/>
        </w:rPr>
        <w:t>88020216</w:t>
      </w:r>
      <w:r>
        <w:rPr>
          <w:rFonts w:ascii="SimSun" w:eastAsia="SimSun" w:hAnsi="SimSun" w:cs="SimSun"/>
        </w:rPr>
        <w:t>、</w:t>
      </w:r>
      <w:r>
        <w:rPr>
          <w:rFonts w:ascii="Times New Roman" w:eastAsia="Times New Roman" w:hAnsi="Times New Roman" w:cs="Times New Roman"/>
        </w:rPr>
        <w:t>26298325</w:t>
      </w:r>
      <w:r>
        <w:rPr>
          <w:rFonts w:ascii="SimSun" w:eastAsia="SimSun" w:hAnsi="SimSun" w:cs="SimSun"/>
        </w:rPr>
        <w:t>（校招生办）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招生投诉电话：</w:t>
      </w:r>
      <w:r>
        <w:rPr>
          <w:rFonts w:ascii="Times New Roman" w:eastAsia="Times New Roman" w:hAnsi="Times New Roman" w:cs="Times New Roman"/>
        </w:rPr>
        <w:t>0591</w:t>
      </w:r>
      <w:r>
        <w:rPr>
          <w:rFonts w:ascii="SimSun" w:eastAsia="SimSun" w:hAnsi="SimSun" w:cs="SimSun"/>
        </w:rPr>
        <w:t>－</w:t>
      </w:r>
      <w:r>
        <w:rPr>
          <w:rFonts w:ascii="Times New Roman" w:eastAsia="Times New Roman" w:hAnsi="Times New Roman" w:cs="Times New Roman"/>
        </w:rPr>
        <w:t>26298325</w:t>
      </w:r>
      <w:r>
        <w:rPr>
          <w:rFonts w:ascii="SimSun" w:eastAsia="SimSun" w:hAnsi="SimSun" w:cs="SimSun"/>
        </w:rPr>
        <w:t>、</w:t>
      </w:r>
      <w:r>
        <w:rPr>
          <w:rFonts w:ascii="Times New Roman" w:eastAsia="Times New Roman" w:hAnsi="Times New Roman" w:cs="Times New Roman"/>
        </w:rPr>
        <w:t>26292316</w:t>
      </w:r>
      <w:r>
        <w:rPr>
          <w:rFonts w:ascii="SimSun" w:eastAsia="SimSun" w:hAnsi="SimSun" w:cs="SimSun"/>
        </w:rPr>
        <w:t>（校监察审计处）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0591</w:t>
      </w:r>
      <w:r>
        <w:rPr>
          <w:rFonts w:ascii="SimSun" w:eastAsia="SimSun" w:hAnsi="SimSun" w:cs="SimSun"/>
        </w:rPr>
        <w:t>－</w:t>
      </w:r>
      <w:r>
        <w:rPr>
          <w:rFonts w:ascii="Times New Roman" w:eastAsia="Times New Roman" w:hAnsi="Times New Roman" w:cs="Times New Roman"/>
        </w:rPr>
        <w:t xml:space="preserve">26298325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通讯地址：福建省福州市连江县潘渡乡连潘路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350506    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三明学院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闽西职业技术学院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2.html" TargetMode="External" /><Relationship Id="rId11" Type="http://schemas.openxmlformats.org/officeDocument/2006/relationships/hyperlink" Target="http://www.gk114.com/a/gxzs/zszc/fujian/2019/0223/6751.html" TargetMode="External" /><Relationship Id="rId12" Type="http://schemas.openxmlformats.org/officeDocument/2006/relationships/hyperlink" Target="http://www.gk114.com/a/gxzs/zszc/fujian/2019/0223/6750.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6.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10.html" TargetMode="External" /><Relationship Id="rId5" Type="http://schemas.openxmlformats.org/officeDocument/2006/relationships/hyperlink" Target="http://www.gk114.com/a/gxzs/zszc/fujian/2019/0222/6712.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55.html" TargetMode="External" /><Relationship Id="rId8" Type="http://schemas.openxmlformats.org/officeDocument/2006/relationships/hyperlink" Target="http://www.gk114.com/a/gxzs/zszc/fujian/2019/0223/6754.html" TargetMode="External" /><Relationship Id="rId9" Type="http://schemas.openxmlformats.org/officeDocument/2006/relationships/hyperlink" Target="http://www.gk114.com/a/gxzs/zszc/fujian/2019/0223/67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