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福建警察学院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第一章</w:t>
      </w:r>
      <w:r>
        <w:rPr>
          <w:rFonts w:ascii="Calibri" w:eastAsia="Calibri" w:hAnsi="Calibri" w:cs="Calibri"/>
          <w:color w:val="666666"/>
          <w:sz w:val="32"/>
          <w:szCs w:val="32"/>
        </w:rPr>
        <w:t> </w:t>
      </w:r>
      <w:r>
        <w:rPr>
          <w:rFonts w:ascii="Microsoft YaHei" w:eastAsia="Microsoft YaHei" w:hAnsi="Microsoft YaHei" w:cs="Microsoft YaHei"/>
          <w:color w:val="666666"/>
          <w:sz w:val="32"/>
          <w:szCs w:val="32"/>
        </w:rPr>
        <w:t> </w:t>
      </w:r>
      <w:r>
        <w:rPr>
          <w:rFonts w:ascii="SimHei" w:eastAsia="SimHei" w:hAnsi="SimHei" w:cs="SimHei"/>
          <w:color w:val="666666"/>
          <w:sz w:val="32"/>
          <w:szCs w:val="32"/>
        </w:rPr>
        <w:t>总则</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第一条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为规范学院招生工作，确保招生工作公平公正、安全有序地顺利进行，依据《中华人民共和国教育法》《中华人民共和国高等教育法》，根据教育、公安、司法等部门的有关规定，结合学院实际情况，特制定本章程。</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福建警察学院（国标代码11495）是福建省唯一一所担负着培养公安、司法高等应用型警务人才的警察院校。办学层次为大学本科，学制四年。</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第三条</w:t>
      </w:r>
      <w:r>
        <w:rPr>
          <w:rFonts w:ascii="Calibri" w:eastAsia="Calibri" w:hAnsi="Calibri" w:cs="Calibri"/>
          <w:color w:val="666666"/>
          <w:sz w:val="32"/>
          <w:szCs w:val="32"/>
        </w:rPr>
        <w:t> </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学院为公办普通高等本科学校，由福建省人民政府举办，省公安厅主管，省教育厅负责业务管理与指导。</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第四条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学院主校区位于福建省福州市仓山区首山路59号</w:t>
      </w:r>
      <w:r>
        <w:rPr>
          <w:rFonts w:ascii="FangSong" w:eastAsia="FangSong" w:hAnsi="FangSong" w:cs="FangSong"/>
          <w:color w:val="666666"/>
          <w:sz w:val="32"/>
          <w:szCs w:val="32"/>
        </w:rPr>
        <w:t>，另设复园里和桐口校区</w:t>
      </w:r>
      <w:r>
        <w:rPr>
          <w:rFonts w:ascii="FangSong" w:eastAsia="FangSong" w:hAnsi="FangSong" w:cs="FangSong"/>
          <w:color w:val="666666"/>
          <w:sz w:val="32"/>
          <w:szCs w:val="32"/>
        </w:rPr>
        <w:t>。</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第二章 </w:t>
      </w:r>
      <w:r>
        <w:rPr>
          <w:rFonts w:ascii="Calibri" w:eastAsia="Calibri" w:hAnsi="Calibri" w:cs="Calibri"/>
          <w:color w:val="666666"/>
          <w:sz w:val="32"/>
          <w:szCs w:val="32"/>
        </w:rPr>
        <w:t> </w:t>
      </w:r>
      <w:r>
        <w:rPr>
          <w:rFonts w:ascii="SimHei" w:eastAsia="SimHei" w:hAnsi="SimHei" w:cs="SimHei"/>
          <w:color w:val="666666"/>
          <w:sz w:val="32"/>
          <w:szCs w:val="32"/>
        </w:rPr>
        <w:t>组织机构</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第五条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学院设立招生领导小组负责全院的招生工作，下设招生办公室（挂靠学生工作处）具体组织实施各项招生工作；学院纪检监察审计处实行全程监督，同时接受上级主管部门的检查监督。</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第三章 </w:t>
      </w:r>
      <w:r>
        <w:rPr>
          <w:rFonts w:ascii="Calibri" w:eastAsia="Calibri" w:hAnsi="Calibri" w:cs="Calibri"/>
          <w:color w:val="666666"/>
          <w:sz w:val="32"/>
          <w:szCs w:val="32"/>
        </w:rPr>
        <w:t> </w:t>
      </w:r>
      <w:r>
        <w:rPr>
          <w:rFonts w:ascii="SimHei" w:eastAsia="SimHei" w:hAnsi="SimHei" w:cs="SimHei"/>
          <w:color w:val="666666"/>
          <w:sz w:val="32"/>
          <w:szCs w:val="32"/>
        </w:rPr>
        <w:t>招生专业及费用标准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第六条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2018</w:t>
      </w:r>
      <w:r>
        <w:rPr>
          <w:rFonts w:ascii="FangSong" w:eastAsia="FangSong" w:hAnsi="FangSong" w:cs="FangSong"/>
          <w:color w:val="666666"/>
          <w:sz w:val="32"/>
          <w:szCs w:val="32"/>
        </w:rPr>
        <w:t>年普通高考招生计划经福建省教育厅核准，面向福建省招收本科公安专业、司法警察专业，面向福建省及其它部分省份招收本科普通专业学生。公安专业有侦查学、经济犯罪侦查、治安学、刑事科学技术、警务指挥与战术、国内安全保卫、交通管理工程等七个专业；司法警察专业有监狱学一个专业；普通专业有法学、行政管理、信息安全等三个专业。各专业招生计划详见福建省教育考试院编印的招生计划手册。</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第七条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学费：</w:t>
      </w:r>
      <w:r>
        <w:rPr>
          <w:rFonts w:ascii="FangSong" w:eastAsia="FangSong" w:hAnsi="FangSong" w:cs="FangSong"/>
          <w:color w:val="666666"/>
          <w:sz w:val="32"/>
          <w:szCs w:val="32"/>
        </w:rPr>
        <w:t>侦查学、经济犯罪侦查、治安学、刑事科学技术、警务指挥与战术、国内安全保卫、交通管理工程、行政管理等八个专业5200元/学年，监狱学、法学、信息安全等三个专业4800元/学年（闽价费〔2014〕183号）。</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第八条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住宿费：按住宿条件分为</w:t>
      </w:r>
      <w:r>
        <w:rPr>
          <w:rFonts w:ascii="FangSong" w:eastAsia="FangSong" w:hAnsi="FangSong" w:cs="FangSong"/>
          <w:color w:val="666666"/>
          <w:sz w:val="32"/>
          <w:szCs w:val="32"/>
        </w:rPr>
        <w:t>900</w:t>
      </w:r>
      <w:r>
        <w:rPr>
          <w:rFonts w:ascii="FangSong" w:eastAsia="FangSong" w:hAnsi="FangSong" w:cs="FangSong"/>
          <w:color w:val="666666"/>
          <w:sz w:val="32"/>
          <w:szCs w:val="32"/>
        </w:rPr>
        <w:t>元</w:t>
      </w:r>
      <w:r>
        <w:rPr>
          <w:rFonts w:ascii="FangSong" w:eastAsia="FangSong" w:hAnsi="FangSong" w:cs="FangSong"/>
          <w:color w:val="666666"/>
          <w:sz w:val="32"/>
          <w:szCs w:val="32"/>
        </w:rPr>
        <w:t>/</w:t>
      </w:r>
      <w:r>
        <w:rPr>
          <w:rFonts w:ascii="FangSong" w:eastAsia="FangSong" w:hAnsi="FangSong" w:cs="FangSong"/>
          <w:color w:val="666666"/>
          <w:sz w:val="32"/>
          <w:szCs w:val="32"/>
        </w:rPr>
        <w:t>年、</w:t>
      </w:r>
      <w:r>
        <w:rPr>
          <w:rFonts w:ascii="FangSong" w:eastAsia="FangSong" w:hAnsi="FangSong" w:cs="FangSong"/>
          <w:color w:val="666666"/>
          <w:sz w:val="32"/>
          <w:szCs w:val="32"/>
        </w:rPr>
        <w:t>800</w:t>
      </w:r>
      <w:r>
        <w:rPr>
          <w:rFonts w:ascii="FangSong" w:eastAsia="FangSong" w:hAnsi="FangSong" w:cs="FangSong"/>
          <w:color w:val="666666"/>
          <w:sz w:val="32"/>
          <w:szCs w:val="32"/>
        </w:rPr>
        <w:t>元</w:t>
      </w:r>
      <w:r>
        <w:rPr>
          <w:rFonts w:ascii="FangSong" w:eastAsia="FangSong" w:hAnsi="FangSong" w:cs="FangSong"/>
          <w:color w:val="666666"/>
          <w:sz w:val="32"/>
          <w:szCs w:val="32"/>
        </w:rPr>
        <w:t>/</w:t>
      </w:r>
      <w:r>
        <w:rPr>
          <w:rFonts w:ascii="FangSong" w:eastAsia="FangSong" w:hAnsi="FangSong" w:cs="FangSong"/>
          <w:color w:val="666666"/>
          <w:sz w:val="32"/>
          <w:szCs w:val="32"/>
        </w:rPr>
        <w:t>年和</w:t>
      </w:r>
      <w:r>
        <w:rPr>
          <w:rFonts w:ascii="FangSong" w:eastAsia="FangSong" w:hAnsi="FangSong" w:cs="FangSong"/>
          <w:color w:val="666666"/>
          <w:sz w:val="32"/>
          <w:szCs w:val="32"/>
        </w:rPr>
        <w:t>500</w:t>
      </w:r>
      <w:r>
        <w:rPr>
          <w:rFonts w:ascii="FangSong" w:eastAsia="FangSong" w:hAnsi="FangSong" w:cs="FangSong"/>
          <w:color w:val="666666"/>
          <w:sz w:val="32"/>
          <w:szCs w:val="32"/>
        </w:rPr>
        <w:t>元</w:t>
      </w:r>
      <w:r>
        <w:rPr>
          <w:rFonts w:ascii="FangSong" w:eastAsia="FangSong" w:hAnsi="FangSong" w:cs="FangSong"/>
          <w:color w:val="666666"/>
          <w:sz w:val="32"/>
          <w:szCs w:val="32"/>
        </w:rPr>
        <w:t>/</w:t>
      </w:r>
      <w:r>
        <w:rPr>
          <w:rFonts w:ascii="FangSong" w:eastAsia="FangSong" w:hAnsi="FangSong" w:cs="FangSong"/>
          <w:color w:val="666666"/>
          <w:sz w:val="32"/>
          <w:szCs w:val="32"/>
        </w:rPr>
        <w:t>年三种。</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第九条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代办费管理及相关费用的清退按福建省物价局、福建省财政厅、福建省教育厅《关于规范高等学校和中等职业学校收费管理工作有关问题的通知》（闽价〔2005〕费435号）文件要求办理。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第十条 以上各项收费标准如有变动，以福建省物价部门批文为准。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第四章 </w:t>
      </w:r>
      <w:r>
        <w:rPr>
          <w:rFonts w:ascii="Calibri" w:eastAsia="Calibri" w:hAnsi="Calibri" w:cs="Calibri"/>
          <w:color w:val="666666"/>
          <w:sz w:val="32"/>
          <w:szCs w:val="32"/>
        </w:rPr>
        <w:t> </w:t>
      </w:r>
      <w:r>
        <w:rPr>
          <w:rFonts w:ascii="SimHei" w:eastAsia="SimHei" w:hAnsi="SimHei" w:cs="SimHei"/>
          <w:color w:val="666666"/>
          <w:sz w:val="32"/>
          <w:szCs w:val="32"/>
        </w:rPr>
        <w:t>公安、司法警察专业考生要求</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第十一条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根据人民警察工作的特殊要求，学院在招收公安、司法警察专业考生时，须经过政治审查和面试（含体能测试），于本科提前批录取。面试时间、地点及要求由福建省教育教育考试院另行通知或详见我院招生网公告。</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第十二条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政治要求：思想政治品德考核合格，并经户籍地或居住地的县级公安机关政治审查合格。</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第十三条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年龄要求：年龄不超过22周岁（1996年9月1日后出生），未婚。</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第十四条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身体要求：</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一）男性考生身高不低于1.68米，体重不低于50公斤；女性考生身高不低于1.60米，体重不低于45公斤。身体匀称，实际体重不超过标准体重的125%、不低于标准体重的85%。标准体重计算方法：标准体重（千克）=身高（厘米）-110。</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（二）五官端正，面部无明显特征或缺陷；无鸡胸、驼背；无纹身、少白头；无明显八字步、罗圈腿，无重度平跖足（平脚板），无严重静脉曲张；无腋臭，无各种残疾；直系血亲无精神病史。</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（三）左右眼单眼裸视力不低于4.8，无色盲、色弱。嗅觉灵敏，两耳无重听，无口吃。</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四）肝功能要求执行人力资源和社会保障部、教育部、卫生部《关于进一步规范入学和就业体检项目维护乙肝表面抗原携带者入学和就业权利的通知》（人社部发〔2010〕12号）和教育部高校学生司《关于明确慢性肝炎病人并且肝功能不正常的具体判定标准的函》（教学司函〔2010〕22号）规定。</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（五）具有其他身体缺陷的，由学院招生领导小组研究决定是否合格。</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第十五条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体能要求：连续参加立定跳远、10米×4往返跑、1000米（女生800米）跑三个项目的体能测试，三项成绩均合格。</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附：体能测试项目及合格标准</w:t>
      </w:r>
    </w:p>
    <w:tbl>
      <w:tblPr>
        <w:tblW w:w="8655"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1430"/>
        <w:gridCol w:w="1345"/>
        <w:gridCol w:w="1780"/>
        <w:gridCol w:w="1200"/>
        <w:gridCol w:w="1345"/>
        <w:gridCol w:w="1780"/>
        <w:gridCol w:w="1200"/>
      </w:tblGrid>
      <w:tr>
        <w:tblPrEx>
          <w:tblW w:w="8655" w:type="dxa"/>
          <w:tblInd w:w="13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tcW w:w="360" w:type="dxa"/>
            <w:vMerge w:val="restart"/>
            <w:tcBorders>
              <w:top w:val="single" w:sz="24" w:space="0" w:color="000000"/>
              <w:left w:val="single" w:sz="24" w:space="0" w:color="000000"/>
              <w:bottom w:val="single" w:sz="24" w:space="0" w:color="000000"/>
              <w:right w:val="single" w:sz="24" w:space="0" w:color="000000"/>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测试项目</w:t>
            </w:r>
          </w:p>
        </w:tc>
        <w:tc>
          <w:tcPr>
            <w:tcW w:w="755" w:type="dxa"/>
            <w:gridSpan w:val="3"/>
            <w:tcBorders>
              <w:top w:val="single" w:sz="24" w:space="0" w:color="000000"/>
              <w:bottom w:val="single" w:sz="24" w:space="0" w:color="000000"/>
              <w:right w:val="single" w:sz="24" w:space="0" w:color="000000"/>
            </w:tcBorders>
            <w:noWrap w:val="0"/>
            <w:tcMar>
              <w:top w:w="45"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男</w:t>
            </w:r>
            <w:r>
              <w:rPr>
                <w:rFonts w:ascii="Microsoft YaHei" w:eastAsia="Microsoft YaHei" w:hAnsi="Microsoft YaHei" w:cs="Microsoft YaHei"/>
                <w:b w:val="0"/>
                <w:bCs w:val="0"/>
                <w:i w:val="0"/>
                <w:iCs w:val="0"/>
                <w:smallCaps w:val="0"/>
                <w:color w:val="666666"/>
                <w:sz w:val="29"/>
                <w:szCs w:val="29"/>
              </w:rPr>
              <w:t> </w:t>
            </w:r>
            <w:r>
              <w:rPr>
                <w:rFonts w:ascii="FangSong" w:eastAsia="FangSong" w:hAnsi="FangSong" w:cs="FangSong"/>
                <w:b w:val="0"/>
                <w:bCs w:val="0"/>
                <w:i w:val="0"/>
                <w:iCs w:val="0"/>
                <w:smallCaps w:val="0"/>
                <w:color w:val="666666"/>
                <w:sz w:val="29"/>
                <w:szCs w:val="29"/>
              </w:rPr>
              <w:t>生</w:t>
            </w:r>
          </w:p>
        </w:tc>
        <w:tc>
          <w:tcPr>
            <w:tcW w:w="755" w:type="dxa"/>
            <w:gridSpan w:val="3"/>
            <w:tcBorders>
              <w:top w:val="single" w:sz="24" w:space="0" w:color="000000"/>
              <w:bottom w:val="single" w:sz="24" w:space="0" w:color="000000"/>
              <w:right w:val="single" w:sz="24" w:space="0" w:color="000000"/>
            </w:tcBorders>
            <w:noWrap w:val="0"/>
            <w:tcMar>
              <w:top w:w="45"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女 生</w:t>
            </w:r>
          </w:p>
        </w:tc>
      </w:tr>
      <w:tr>
        <w:tblPrEx>
          <w:tblW w:w="8655" w:type="dxa"/>
          <w:tblInd w:w="135" w:type="dxa"/>
          <w:tblCellMar>
            <w:top w:w="0" w:type="dxa"/>
            <w:left w:w="0" w:type="dxa"/>
            <w:bottom w:w="0" w:type="dxa"/>
            <w:right w:w="0" w:type="dxa"/>
          </w:tblCellMar>
        </w:tblPrEx>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666666"/>
                <w:sz w:val="29"/>
                <w:szCs w:val="29"/>
              </w:rPr>
            </w:pP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立定跳远</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w:t>
            </w:r>
            <w:r>
              <w:rPr>
                <w:rFonts w:ascii="FangSong" w:eastAsia="FangSong" w:hAnsi="FangSong" w:cs="FangSong"/>
                <w:b w:val="0"/>
                <w:bCs w:val="0"/>
                <w:i w:val="0"/>
                <w:iCs w:val="0"/>
                <w:smallCaps w:val="0"/>
                <w:color w:val="666666"/>
                <w:sz w:val="29"/>
                <w:szCs w:val="29"/>
              </w:rPr>
              <w:t>米×4往返跑</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1000</w:t>
            </w:r>
            <w:r>
              <w:rPr>
                <w:rFonts w:ascii="FangSong" w:eastAsia="FangSong" w:hAnsi="FangSong" w:cs="FangSong"/>
                <w:b w:val="0"/>
                <w:bCs w:val="0"/>
                <w:i w:val="0"/>
                <w:iCs w:val="0"/>
                <w:smallCaps w:val="0"/>
                <w:color w:val="666666"/>
                <w:sz w:val="29"/>
                <w:szCs w:val="29"/>
              </w:rPr>
              <w:t>米跑</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立定跳远</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10</w:t>
            </w:r>
            <w:r>
              <w:rPr>
                <w:rFonts w:ascii="FangSong" w:eastAsia="FangSong" w:hAnsi="FangSong" w:cs="FangSong"/>
                <w:b w:val="0"/>
                <w:bCs w:val="0"/>
                <w:i w:val="0"/>
                <w:iCs w:val="0"/>
                <w:smallCaps w:val="0"/>
                <w:color w:val="666666"/>
                <w:sz w:val="29"/>
                <w:szCs w:val="29"/>
              </w:rPr>
              <w:t>米×4往返跑</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800</w:t>
            </w:r>
            <w:r>
              <w:rPr>
                <w:rFonts w:ascii="FangSong" w:eastAsia="FangSong" w:hAnsi="FangSong" w:cs="FangSong"/>
                <w:b w:val="0"/>
                <w:bCs w:val="0"/>
                <w:i w:val="0"/>
                <w:iCs w:val="0"/>
                <w:smallCaps w:val="0"/>
                <w:color w:val="666666"/>
                <w:sz w:val="29"/>
                <w:szCs w:val="29"/>
              </w:rPr>
              <w:t>米跑</w:t>
            </w:r>
          </w:p>
        </w:tc>
      </w:tr>
      <w:tr>
        <w:tblPrEx>
          <w:tblW w:w="8655" w:type="dxa"/>
          <w:tblInd w:w="135" w:type="dxa"/>
          <w:tblCellMar>
            <w:top w:w="0" w:type="dxa"/>
            <w:left w:w="0" w:type="dxa"/>
            <w:bottom w:w="0" w:type="dxa"/>
            <w:right w:w="0" w:type="dxa"/>
          </w:tblCellMar>
        </w:tblPrEx>
        <w:tc>
          <w:tcPr>
            <w:tcW w:w="360" w:type="dxa"/>
            <w:tcBorders>
              <w:top w:val="single" w:sz="6" w:space="0" w:color="CCCCCC"/>
              <w:left w:val="single" w:sz="24" w:space="0" w:color="000000"/>
              <w:bottom w:val="single" w:sz="24" w:space="0" w:color="000000"/>
              <w:right w:val="single" w:sz="24" w:space="0" w:color="000000"/>
            </w:tcBorders>
            <w:noWrap w:val="0"/>
            <w:tcMar>
              <w:top w:w="22"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合格标准</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≥2.2米</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≤11</w:t>
            </w:r>
            <w:r>
              <w:rPr>
                <w:rFonts w:ascii="Microsoft YaHei" w:eastAsia="Microsoft YaHei" w:hAnsi="Microsoft YaHei" w:cs="Microsoft YaHei"/>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6</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≤4′35</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≥1.5米</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≤12</w:t>
            </w:r>
            <w:r>
              <w:rPr>
                <w:rFonts w:ascii="Microsoft YaHei" w:eastAsia="Microsoft YaHei" w:hAnsi="Microsoft YaHei" w:cs="Microsoft YaHei"/>
                <w:b w:val="0"/>
                <w:bCs w:val="0"/>
                <w:i w:val="0"/>
                <w:iCs w:val="0"/>
                <w:smallCaps w:val="0"/>
                <w:color w:val="666666"/>
                <w:sz w:val="29"/>
                <w:szCs w:val="29"/>
              </w:rPr>
              <w:t>〞</w:t>
            </w:r>
            <w:r>
              <w:rPr>
                <w:rFonts w:ascii="FangSong" w:eastAsia="FangSong" w:hAnsi="FangSong" w:cs="FangSong"/>
                <w:b w:val="0"/>
                <w:bCs w:val="0"/>
                <w:i w:val="0"/>
                <w:iCs w:val="0"/>
                <w:smallCaps w:val="0"/>
                <w:color w:val="666666"/>
                <w:sz w:val="29"/>
                <w:szCs w:val="29"/>
              </w:rPr>
              <w:t>6</w:t>
            </w:r>
          </w:p>
        </w:tc>
        <w:tc>
          <w:tcPr>
            <w:tcW w:w="335" w:type="dxa"/>
            <w:tcBorders>
              <w:top w:val="single" w:sz="6" w:space="0" w:color="CCCCCC"/>
              <w:bottom w:val="single" w:sz="24" w:space="0" w:color="000000"/>
              <w:right w:val="single" w:sz="24" w:space="0" w:color="000000"/>
            </w:tcBorders>
            <w:noWrap w:val="0"/>
            <w:tcMar>
              <w:top w:w="22" w:type="dxa"/>
              <w:left w:w="80"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≤4′30</w:t>
            </w:r>
          </w:p>
        </w:tc>
      </w:tr>
    </w:tbl>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第十六条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女生比例占招生数的10%，具体详见福建省教育考试院编印的招生计划手册。</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第十七条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各专业限英语语种。</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第五章 </w:t>
      </w:r>
      <w:r>
        <w:rPr>
          <w:rFonts w:ascii="Calibri" w:eastAsia="Calibri" w:hAnsi="Calibri" w:cs="Calibri"/>
          <w:color w:val="666666"/>
          <w:sz w:val="32"/>
          <w:szCs w:val="32"/>
        </w:rPr>
        <w:t> </w:t>
      </w:r>
      <w:r>
        <w:rPr>
          <w:rFonts w:ascii="SimHei" w:eastAsia="SimHei" w:hAnsi="SimHei" w:cs="SimHei"/>
          <w:color w:val="666666"/>
          <w:sz w:val="32"/>
          <w:szCs w:val="32"/>
        </w:rPr>
        <w:t>普通专业考生要求</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第十八条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普通专业要求考生思想政治品德考核合格；身体健康状况符合教育部、卫生部颁布的《普通高等学校招生体检工作指导意见》及有关补充规定的要求。不限男女生比例，无须经过面试，各专业限英语语种。</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第六章 </w:t>
      </w:r>
      <w:r>
        <w:rPr>
          <w:rFonts w:ascii="Calibri" w:eastAsia="Calibri" w:hAnsi="Calibri" w:cs="Calibri"/>
          <w:color w:val="666666"/>
          <w:sz w:val="32"/>
          <w:szCs w:val="32"/>
        </w:rPr>
        <w:t> </w:t>
      </w:r>
      <w:r>
        <w:rPr>
          <w:rFonts w:ascii="SimHei" w:eastAsia="SimHei" w:hAnsi="SimHei" w:cs="SimHei"/>
          <w:color w:val="666666"/>
          <w:sz w:val="32"/>
          <w:szCs w:val="32"/>
        </w:rPr>
        <w:t>录取原则</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第十九条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学院录取新生的原则是：坚持公平竞争、公正选拔、公开透明，以2018年各省普通高等学校招生全国统一考试成绩为主要依据，德智体美综合评价、择优录取。</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公安专业录取原则，执行福建省文史理工类本科提前批录取规定。福建省教育考试院在政治审查、面试、体能测试均合格的考生中分别按面向设区市（平潭综合实验区）的文、理和男、女招生计划数的1</w:t>
      </w:r>
      <w:r>
        <w:rPr>
          <w:rFonts w:ascii="Microsoft YaHei" w:eastAsia="Microsoft YaHei" w:hAnsi="Microsoft YaHei" w:cs="Microsoft YaHei"/>
          <w:color w:val="666666"/>
          <w:sz w:val="32"/>
          <w:szCs w:val="32"/>
        </w:rPr>
        <w:t>︰</w:t>
      </w:r>
      <w:r>
        <w:rPr>
          <w:rFonts w:ascii="FangSong" w:eastAsia="FangSong" w:hAnsi="FangSong" w:cs="FangSong"/>
          <w:color w:val="666666"/>
          <w:sz w:val="32"/>
          <w:szCs w:val="32"/>
        </w:rPr>
        <w:t>1.2</w:t>
      </w:r>
      <w:r>
        <w:rPr>
          <w:rFonts w:ascii="FangSong" w:eastAsia="FangSong" w:hAnsi="FangSong" w:cs="FangSong"/>
          <w:color w:val="666666"/>
          <w:sz w:val="32"/>
          <w:szCs w:val="32"/>
        </w:rPr>
        <w:t>比例投档，学院审档合格后由高分至低分排序录取。在投档成绩相同的情况下，学校将综合考虑考生相关科目成绩及特长等因素，择优录取考生。专业安排在招生计划数1</w:t>
      </w:r>
      <w:r>
        <w:rPr>
          <w:rFonts w:ascii="Microsoft YaHei" w:eastAsia="Microsoft YaHei" w:hAnsi="Microsoft YaHei" w:cs="Microsoft YaHei"/>
          <w:color w:val="666666"/>
          <w:sz w:val="32"/>
          <w:szCs w:val="32"/>
        </w:rPr>
        <w:t>︰</w:t>
      </w:r>
      <w:r>
        <w:rPr>
          <w:rFonts w:ascii="FangSong" w:eastAsia="FangSong" w:hAnsi="FangSong" w:cs="FangSong"/>
          <w:color w:val="666666"/>
          <w:sz w:val="32"/>
          <w:szCs w:val="32"/>
        </w:rPr>
        <w:t>1</w:t>
      </w:r>
      <w:r>
        <w:rPr>
          <w:rFonts w:ascii="FangSong" w:eastAsia="FangSong" w:hAnsi="FangSong" w:cs="FangSong"/>
          <w:color w:val="666666"/>
          <w:sz w:val="32"/>
          <w:szCs w:val="32"/>
        </w:rPr>
        <w:t>的数额内按“专业清”的录取模式，不设专业分数级差，若有退档则计划缺额在出档考生中按前述规则递补录取。</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第二十一条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司法警察专业录取原则，执行福建省文史理工类本科提前批录取规定。福建省教育考试院在政治审查、面试、体能测试均合格的考生中分别按文、理和男、女招生计划数的1</w:t>
      </w:r>
      <w:r>
        <w:rPr>
          <w:rFonts w:ascii="Microsoft YaHei" w:eastAsia="Microsoft YaHei" w:hAnsi="Microsoft YaHei" w:cs="Microsoft YaHei"/>
          <w:color w:val="666666"/>
          <w:sz w:val="32"/>
          <w:szCs w:val="32"/>
        </w:rPr>
        <w:t>︰</w:t>
      </w:r>
      <w:r>
        <w:rPr>
          <w:rFonts w:ascii="FangSong" w:eastAsia="FangSong" w:hAnsi="FangSong" w:cs="FangSong"/>
          <w:color w:val="666666"/>
          <w:sz w:val="32"/>
          <w:szCs w:val="32"/>
        </w:rPr>
        <w:t>1.2</w:t>
      </w:r>
      <w:r>
        <w:rPr>
          <w:rFonts w:ascii="FangSong" w:eastAsia="FangSong" w:hAnsi="FangSong" w:cs="FangSong"/>
          <w:color w:val="666666"/>
          <w:sz w:val="32"/>
          <w:szCs w:val="32"/>
        </w:rPr>
        <w:t>比例投档，学院审档合格后由高分至低分排序录取。</w:t>
      </w:r>
      <w:r>
        <w:rPr>
          <w:rFonts w:ascii="FangSong" w:eastAsia="FangSong" w:hAnsi="FangSong" w:cs="FangSong"/>
          <w:color w:val="666666"/>
          <w:sz w:val="32"/>
          <w:szCs w:val="32"/>
        </w:rPr>
        <w:t>在投档成绩相同的情况下，学校将综合考虑考生相关科目成绩及特长等因素，择优录取考生。</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第二十二条</w:t>
      </w:r>
      <w:r>
        <w:rPr>
          <w:rFonts w:ascii="Calibri" w:eastAsia="Calibri" w:hAnsi="Calibri" w:cs="Calibri"/>
          <w:color w:val="666666"/>
          <w:sz w:val="32"/>
          <w:szCs w:val="32"/>
        </w:rPr>
        <w:t> </w:t>
      </w:r>
      <w:r>
        <w:rPr>
          <w:rFonts w:ascii="FangSong" w:eastAsia="FangSong" w:hAnsi="FangSong" w:cs="FangSong"/>
          <w:color w:val="666666"/>
          <w:sz w:val="32"/>
          <w:szCs w:val="32"/>
        </w:rPr>
        <w:t xml:space="preserve"> 普通专业录取原则，执行招生省文史理工类本科二批录取规定。专业安排采用“专业清”的录取模式，不设分数级差。</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第二十三条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录取方式：实行计算机网上录取。</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第二十四条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考生电子档案身体条件不符合我院专业录取规定或所报专业已满且不愿意服从专业调剂的考生作退档处理。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第二十五条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新生入学后，学院将进行复查。凡不符合要求或以弄虚作假手段取得录取资格的，一经查实，取消入学资格。</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第七章 </w:t>
      </w:r>
      <w:r>
        <w:rPr>
          <w:rFonts w:ascii="Calibri" w:eastAsia="Calibri" w:hAnsi="Calibri" w:cs="Calibri"/>
          <w:color w:val="666666"/>
          <w:sz w:val="32"/>
          <w:szCs w:val="32"/>
        </w:rPr>
        <w:t> </w:t>
      </w:r>
      <w:r>
        <w:rPr>
          <w:rFonts w:ascii="SimHei" w:eastAsia="SimHei" w:hAnsi="SimHei" w:cs="SimHei"/>
          <w:color w:val="666666"/>
          <w:sz w:val="32"/>
          <w:szCs w:val="32"/>
        </w:rPr>
        <w:t>在校管理与毕业待遇</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第二十六条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各专业学生统一着人民警察服装，佩带学员标志，按照《公安院校警务化管理规定》实行警务化管理。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第二十七条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学院设立优秀学生奖学金，品学兼优的学生可申请国家奖学金。</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第二十八条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家庭经济生活困难的学生，根据国家有关政策可申请助学贷款、国家助学金、国家励志奖学金和学费减免、勤工助学等资助项目。</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第二十九条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生在规定年限内学完人才培养方案规定的全部课程，修满规定学分并考核合格，德、智、体达到毕业要求，准予毕业，上报教育部进行电子注册，颁发福建警察学院本科毕业证书。符合学位授予条件的，授予学士学位证书。</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第三十条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公安专业学生就业按照《人力资源社会保障部等六部门关于公安院校公安专业人才招录培养制度改革的意见》（人社部发〔2015〕106号）文件精神执行。其它专业毕业生就业按国家相关政策规定执行。</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z w:val="32"/>
          <w:szCs w:val="32"/>
        </w:rPr>
        <w:t> </w:t>
      </w:r>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SimHei" w:eastAsia="SimHei" w:hAnsi="SimHei" w:cs="SimHei"/>
          <w:color w:val="666666"/>
          <w:sz w:val="32"/>
          <w:szCs w:val="32"/>
        </w:rPr>
        <w:t xml:space="preserve">第八章 </w:t>
      </w:r>
      <w:r>
        <w:rPr>
          <w:rFonts w:ascii="Calibri" w:eastAsia="Calibri" w:hAnsi="Calibri" w:cs="Calibri"/>
          <w:color w:val="666666"/>
          <w:sz w:val="32"/>
          <w:szCs w:val="32"/>
        </w:rPr>
        <w:t> </w:t>
      </w:r>
      <w:r>
        <w:rPr>
          <w:rFonts w:ascii="SimHei" w:eastAsia="SimHei" w:hAnsi="SimHei" w:cs="SimHei"/>
          <w:color w:val="666666"/>
          <w:sz w:val="32"/>
          <w:szCs w:val="32"/>
        </w:rPr>
        <w:t>其它</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第三十一条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学院网址：http://www.fjpsc.edu.cn</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招生网址：http://210.34.112.99</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通讯地址：福州市仓山区首山路59号（邮编350007）</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咨询电话：0591-83532647</w:t>
      </w:r>
      <w:r>
        <w:rPr>
          <w:rFonts w:ascii="Microsoft YaHei" w:eastAsia="Microsoft YaHei" w:hAnsi="Microsoft YaHei" w:cs="Microsoft YaHei"/>
          <w:color w:val="666666"/>
          <w:sz w:val="32"/>
          <w:szCs w:val="32"/>
        </w:rPr>
        <w:t> </w:t>
      </w:r>
      <w:r>
        <w:rPr>
          <w:rFonts w:ascii="Calibri" w:eastAsia="Calibri" w:hAnsi="Calibri" w:cs="Calibri"/>
          <w:color w:val="666666"/>
          <w:sz w:val="32"/>
          <w:szCs w:val="32"/>
        </w:rPr>
        <w:t> </w:t>
      </w:r>
      <w:r>
        <w:rPr>
          <w:rFonts w:ascii="FangSong" w:eastAsia="FangSong" w:hAnsi="FangSong" w:cs="FangSong"/>
          <w:color w:val="666666"/>
          <w:sz w:val="32"/>
          <w:szCs w:val="32"/>
        </w:rPr>
        <w:t>83532691</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招办电话：0591-83463987</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邮箱：fjjyzsb</w:t>
      </w:r>
      <w:r>
        <w:rPr>
          <w:rFonts w:ascii="Cambria" w:eastAsia="Cambria" w:hAnsi="Cambria" w:cs="Cambria"/>
          <w:color w:val="666666"/>
          <w:sz w:val="32"/>
          <w:szCs w:val="32"/>
        </w:rPr>
        <w:t>@</w:t>
      </w:r>
      <w:r>
        <w:rPr>
          <w:rFonts w:ascii="FangSong" w:eastAsia="FangSong" w:hAnsi="FangSong" w:cs="FangSong"/>
          <w:color w:val="666666"/>
          <w:sz w:val="32"/>
          <w:szCs w:val="32"/>
        </w:rPr>
        <w:t>qq.com</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监督举报：0591-83421360</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邮箱：fjjcxyjw</w:t>
      </w:r>
      <w:r>
        <w:rPr>
          <w:rFonts w:ascii="Cambria" w:eastAsia="Cambria" w:hAnsi="Cambria" w:cs="Cambria"/>
          <w:color w:val="666666"/>
          <w:sz w:val="32"/>
          <w:szCs w:val="32"/>
        </w:rPr>
        <w:t>@</w:t>
      </w:r>
      <w:r>
        <w:rPr>
          <w:rFonts w:ascii="FangSong" w:eastAsia="FangSong" w:hAnsi="FangSong" w:cs="FangSong"/>
          <w:color w:val="666666"/>
          <w:sz w:val="32"/>
          <w:szCs w:val="32"/>
        </w:rPr>
        <w:t>163.com</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FangSong" w:eastAsia="FangSong" w:hAnsi="FangSong" w:cs="FangSong"/>
          <w:color w:val="666666"/>
          <w:sz w:val="32"/>
          <w:szCs w:val="32"/>
        </w:rPr>
        <w:t>第三十二条</w:t>
      </w:r>
      <w:r>
        <w:rPr>
          <w:rFonts w:ascii="Microsoft YaHei" w:eastAsia="Microsoft YaHei" w:hAnsi="Microsoft YaHei" w:cs="Microsoft YaHei"/>
          <w:color w:val="666666"/>
          <w:sz w:val="32"/>
          <w:szCs w:val="32"/>
        </w:rPr>
        <w:t> </w:t>
      </w:r>
      <w:r>
        <w:rPr>
          <w:rFonts w:ascii="FangSong" w:eastAsia="FangSong" w:hAnsi="FangSong" w:cs="FangSong"/>
          <w:color w:val="666666"/>
          <w:sz w:val="32"/>
          <w:szCs w:val="32"/>
        </w:rPr>
        <w:t>本章程由福建警察学院招生办公室负责解释。若有变动，以《福建省2018年公安普通高等院校公安类、司法警察类专业招生办法》为准。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闽西职业技术学院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福建华南女子职业学院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莱芜职业技术学院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年西昌学院招生章程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厦门华天涉外职业技术学院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福州黎明职业技术学院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泉州信息工程学院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闽北职业技术学院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福州外语外贸学院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福建师范大学协和学院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福建高校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福建江夏学院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fujian/2020/0618/16867.html" TargetMode="External" /><Relationship Id="rId11" Type="http://schemas.openxmlformats.org/officeDocument/2006/relationships/hyperlink" Target="http://www.gk114.com/a/gxzs/zszc/fujian/2020/0618/16865.html" TargetMode="External" /><Relationship Id="rId12" Type="http://schemas.openxmlformats.org/officeDocument/2006/relationships/hyperlink" Target="http://www.gk114.com/a/gxzs/zszc/fujian/2019/0223/6755.html" TargetMode="External" /><Relationship Id="rId13" Type="http://schemas.openxmlformats.org/officeDocument/2006/relationships/hyperlink" Target="http://www.gk114.com/a/gxzs/zszc/fujian/2019/0223/6754.html" TargetMode="External" /><Relationship Id="rId14" Type="http://schemas.openxmlformats.org/officeDocument/2006/relationships/hyperlink" Target="http://www.gk114.com/a/gxzs/zszc/fujian/2019/0223/6753.html" TargetMode="External" /><Relationship Id="rId15" Type="http://schemas.openxmlformats.org/officeDocument/2006/relationships/hyperlink" Target="http://www.gk114.com/a/gxzs/zszc/fujian/2019/0223/6752.html" TargetMode="External" /><Relationship Id="rId16" Type="http://schemas.openxmlformats.org/officeDocument/2006/relationships/hyperlink" Target="http://www.gk114.com/a/gxzs/zszc/fujian/2019/0223/6751.html" TargetMode="External" /><Relationship Id="rId17" Type="http://schemas.openxmlformats.org/officeDocument/2006/relationships/hyperlink" Target="http://www.gk114.com/a/gxzs/zszc/fujian/2019/0222/6727.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fujian/2019/0222/6712.html" TargetMode="External" /><Relationship Id="rId5" Type="http://schemas.openxmlformats.org/officeDocument/2006/relationships/hyperlink" Target="http://www.gk114.com/a/gxzs/zszc/fujian/2019/0222/6714.html" TargetMode="External" /><Relationship Id="rId6" Type="http://schemas.openxmlformats.org/officeDocument/2006/relationships/hyperlink" Target="http://www.gk114.com/a/gxzs/zszc/fujian/" TargetMode="External" /><Relationship Id="rId7" Type="http://schemas.openxmlformats.org/officeDocument/2006/relationships/hyperlink" Target="http://www.gk114.com/a/gxzs/zszc/fujian/2021/0614/19924.html" TargetMode="External" /><Relationship Id="rId8" Type="http://schemas.openxmlformats.org/officeDocument/2006/relationships/hyperlink" Target="http://www.gk114.com/a/gxzs/zszc/fujian/2020/0618/16869.html" TargetMode="External" /><Relationship Id="rId9" Type="http://schemas.openxmlformats.org/officeDocument/2006/relationships/hyperlink" Target="http://www.gk114.com/a/gxzs/zszc/fujian/2020/0618/168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