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营口职业技术学院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一、学校自然情况说明</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1.</w:t>
      </w:r>
      <w:r>
        <w:rPr>
          <w:rFonts w:ascii="SimSun" w:eastAsia="SimSun" w:hAnsi="SimSun" w:cs="SimSun"/>
          <w:color w:val="666666"/>
          <w:sz w:val="30"/>
          <w:szCs w:val="30"/>
        </w:rPr>
        <w:t>学校全称：营口职业技术学院</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2.</w:t>
      </w:r>
      <w:r>
        <w:rPr>
          <w:rFonts w:ascii="SimSun" w:eastAsia="SimSun" w:hAnsi="SimSun" w:cs="SimSun"/>
          <w:color w:val="666666"/>
          <w:sz w:val="30"/>
          <w:szCs w:val="30"/>
        </w:rPr>
        <w:t>办学地点及校址：辽宁省营口市金牛山大街东14号</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3.</w:t>
      </w:r>
      <w:r>
        <w:rPr>
          <w:rFonts w:ascii="SimSun" w:eastAsia="SimSun" w:hAnsi="SimSun" w:cs="SimSun"/>
          <w:color w:val="666666"/>
          <w:sz w:val="30"/>
          <w:szCs w:val="30"/>
        </w:rPr>
        <w:t>办学类型：公办普通高等职业学院</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4.</w:t>
      </w:r>
      <w:r>
        <w:rPr>
          <w:rFonts w:ascii="SimSun" w:eastAsia="SimSun" w:hAnsi="SimSun" w:cs="SimSun"/>
          <w:color w:val="666666"/>
          <w:sz w:val="30"/>
          <w:szCs w:val="30"/>
        </w:rPr>
        <w:t>办学层次：高职（专科）</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5.</w:t>
      </w:r>
      <w:r>
        <w:rPr>
          <w:rFonts w:ascii="SimSun" w:eastAsia="SimSun" w:hAnsi="SimSun" w:cs="SimSun"/>
          <w:color w:val="666666"/>
          <w:sz w:val="30"/>
          <w:szCs w:val="30"/>
        </w:rPr>
        <w:t>学制及学习年限：学制为三年，学习年限为三---五年。</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6.</w:t>
      </w:r>
      <w:r>
        <w:rPr>
          <w:rFonts w:ascii="SimSun" w:eastAsia="SimSun" w:hAnsi="SimSun" w:cs="SimSun"/>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7.</w:t>
      </w:r>
      <w:r>
        <w:rPr>
          <w:rFonts w:ascii="SimSun" w:eastAsia="SimSun" w:hAnsi="SimSun" w:cs="SimSun"/>
          <w:color w:val="666666"/>
          <w:sz w:val="30"/>
          <w:szCs w:val="30"/>
        </w:rPr>
        <w:t>主要办学条件： 校园占地面积481122.2平方米（约合721.3亩）；生均教学行政用房面积12.7平方米；生均宿舍面积5.9平方米；生师比16.4；专任教师410人，其中具有副高级及以上职务教师占专任教师的比例为57.8，具有研究生学位教师占专任教师的比例为30.0%；教学科研仪器设备总值5406.7万元，生均教学科研仪器设备值7465.7元；图书58.2万册，生均图书80.3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二、招生计划特别说明</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1. </w:t>
      </w:r>
      <w:r>
        <w:rPr>
          <w:rFonts w:ascii="SimSun" w:eastAsia="SimSun" w:hAnsi="SimSun" w:cs="SimSun"/>
          <w:color w:val="666666"/>
          <w:sz w:val="30"/>
          <w:szCs w:val="30"/>
        </w:rPr>
        <w:t>分省计划主要面向中西部地区安排招生名额；分专业计划根据学校办学条件，就业情况，经学校招考委研究确定各学科门类的培养规模和招生计划，主要满足经济社会发展急需的重点支持的学科专业计划。</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2. </w:t>
      </w:r>
      <w:r>
        <w:rPr>
          <w:rFonts w:ascii="SimSun" w:eastAsia="SimSun" w:hAnsi="SimSun" w:cs="SimSun"/>
          <w:color w:val="666666"/>
          <w:sz w:val="30"/>
          <w:szCs w:val="30"/>
        </w:rPr>
        <w:t>经批准有语种限制的专业及允许招生的语种：无。</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3. </w:t>
      </w:r>
      <w:r>
        <w:rPr>
          <w:rFonts w:ascii="SimSun" w:eastAsia="SimSun" w:hAnsi="SimSun" w:cs="SimSun"/>
          <w:color w:val="666666"/>
          <w:sz w:val="30"/>
          <w:szCs w:val="30"/>
        </w:rPr>
        <w:t>有男女生比例要求的专业及限制比例：无。</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三、专业设置说明</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332"/>
        <w:gridCol w:w="1445"/>
        <w:gridCol w:w="4067"/>
        <w:gridCol w:w="1369"/>
        <w:gridCol w:w="1440"/>
        <w:gridCol w:w="2018"/>
        <w:gridCol w:w="2533"/>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8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bookmarkStart w:id="0" w:name="_GoBack"/>
            <w:bookmarkEnd w:id="0"/>
            <w:r>
              <w:rPr>
                <w:rFonts w:ascii="FangSong" w:eastAsia="FangSong" w:hAnsi="FangSong" w:cs="FangSong"/>
                <w:b w:val="0"/>
                <w:bCs w:val="0"/>
                <w:i w:val="0"/>
                <w:iCs w:val="0"/>
                <w:smallCaps w:val="0"/>
                <w:color w:val="666666"/>
                <w:spacing w:val="-15"/>
              </w:rPr>
              <w:t>序号</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专业代码</w:t>
            </w:r>
          </w:p>
        </w:tc>
        <w:tc>
          <w:tcPr>
            <w:tcW w:w="33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专业名称</w:t>
            </w:r>
          </w:p>
        </w:tc>
        <w:tc>
          <w:tcPr>
            <w:tcW w:w="9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学制</w:t>
            </w:r>
          </w:p>
        </w:tc>
        <w:tc>
          <w:tcPr>
            <w:tcW w:w="9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学习年限</w:t>
            </w:r>
          </w:p>
        </w:tc>
        <w:tc>
          <w:tcPr>
            <w:tcW w:w="15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科</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类</w:t>
            </w:r>
          </w:p>
        </w:tc>
        <w:tc>
          <w:tcPr>
            <w:tcW w:w="13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学费（元/年/生）</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520804</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环境工程技术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bookmarkStart w:id="1" w:name="OLE_LINK1"/>
            <w:bookmarkEnd w:id="1"/>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530102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供用电技术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540102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建筑装饰工程技术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540301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建筑工程技术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540403</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建筑电气工程技术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540501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建设工程管理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540502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工程造价</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540701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房地产经营与管理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9</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560102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机械制造与自动化</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560103</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数控技术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560203</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机电设备维修与管理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560302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电气自动化技术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560308</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电梯工程技术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560304</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智能控制技术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560309</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工业机器人技术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560702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汽车检测与维修技术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570203</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石油化工技术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18</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600202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道路桥梁工程技术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19</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600405</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空中乘务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610102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应用电子技术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610115</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移动互联应用技术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610201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计算机应用技术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610207</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动漫制作技术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610214</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电子商务技术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620501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康复治疗技术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26</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630302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会计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27</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630506</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报关与国际货运</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28</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630903</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物流管理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29</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640101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旅游管理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640105</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酒店管理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650104</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数字媒体艺术设计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650108</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670102K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3000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670103K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小学教育</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3000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670104K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语文教育</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3000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670106K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英语教育</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3000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670118K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特殊教育</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3000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670118K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特殊教育（手语翻译）</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3000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39</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670121K</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心理健康教育</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3000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商务英语</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41</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670202</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商务英语</w:t>
            </w:r>
            <w:r>
              <w:rPr>
                <w:rFonts w:ascii="FangSong" w:eastAsia="FangSong" w:hAnsi="FangSong" w:cs="FangSong"/>
                <w:b w:val="0"/>
                <w:bCs w:val="0"/>
                <w:i w:val="0"/>
                <w:iCs w:val="0"/>
                <w:smallCaps w:val="0"/>
                <w:color w:val="666666"/>
                <w:sz w:val="21"/>
                <w:szCs w:val="21"/>
              </w:rPr>
              <w:t>（涉外酒店管理）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690104</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社区管理与服务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43</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690301</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老年服务与管理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r>
        <w:tblPrEx>
          <w:tblW w:w="14325" w:type="dxa"/>
          <w:tblInd w:w="165" w:type="dxa"/>
          <w:tblCellMar>
            <w:top w:w="0" w:type="dxa"/>
            <w:left w:w="0" w:type="dxa"/>
            <w:bottom w:w="0" w:type="dxa"/>
            <w:right w:w="0" w:type="dxa"/>
          </w:tblCellMar>
        </w:tblPrEx>
        <w:trPr>
          <w:trHeight w:val="285"/>
        </w:trPr>
        <w:tc>
          <w:tcPr>
            <w:tcW w:w="8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44</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690304</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社区康复</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年</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r>
    </w:tbl>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四、毕业证书与学位证书说明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学生学习期满，成绩合格颁发营口职业技术学院高职（专科）毕业证书。</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五、收费情况说明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1.</w:t>
      </w:r>
      <w:r>
        <w:rPr>
          <w:rFonts w:ascii="SimSun" w:eastAsia="SimSun" w:hAnsi="SimSun" w:cs="SimSun"/>
          <w:color w:val="666666"/>
          <w:sz w:val="30"/>
          <w:szCs w:val="30"/>
        </w:rPr>
        <w:t>学费和住宿费的收取标准</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学费和住宿费按照市物价部门批准的标准收费。</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2.</w:t>
      </w:r>
      <w:r>
        <w:rPr>
          <w:rFonts w:ascii="SimSun" w:eastAsia="SimSun" w:hAnsi="SimSun" w:cs="SimSun"/>
          <w:color w:val="666666"/>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学生因故退学或提前结束学业的，根据学生实际学习时间，按月计退剩余的学费和住宿费。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3.</w:t>
      </w:r>
      <w:r>
        <w:rPr>
          <w:rFonts w:ascii="SimSun" w:eastAsia="SimSun" w:hAnsi="SimSun" w:cs="SimSun"/>
          <w:color w:val="666666"/>
          <w:sz w:val="30"/>
          <w:szCs w:val="30"/>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国家奖学金</w:t>
      </w:r>
      <w:r>
        <w:rPr>
          <w:rFonts w:ascii="FangSong" w:eastAsia="FangSong" w:hAnsi="FangSong" w:cs="FangSong"/>
          <w:color w:val="666666"/>
          <w:sz w:val="30"/>
          <w:szCs w:val="30"/>
        </w:rPr>
        <w:t>8000</w:t>
      </w:r>
      <w:r>
        <w:rPr>
          <w:rFonts w:ascii="SimSun" w:eastAsia="SimSun" w:hAnsi="SimSun" w:cs="SimSun"/>
          <w:color w:val="666666"/>
          <w:sz w:val="30"/>
          <w:szCs w:val="30"/>
        </w:rPr>
        <w:t>元</w:t>
      </w:r>
      <w:r>
        <w:rPr>
          <w:rFonts w:ascii="FangSong" w:eastAsia="FangSong" w:hAnsi="FangSong" w:cs="FangSong"/>
          <w:color w:val="666666"/>
          <w:sz w:val="30"/>
          <w:szCs w:val="30"/>
        </w:rPr>
        <w:t>/</w:t>
      </w:r>
      <w:r>
        <w:rPr>
          <w:rFonts w:ascii="SimSun" w:eastAsia="SimSun" w:hAnsi="SimSun" w:cs="SimSun"/>
          <w:color w:val="666666"/>
          <w:sz w:val="30"/>
          <w:szCs w:val="30"/>
        </w:rPr>
        <w:t>年</w:t>
      </w:r>
      <w:r>
        <w:rPr>
          <w:rFonts w:ascii="FangSong" w:eastAsia="FangSong" w:hAnsi="FangSong" w:cs="FangSong"/>
          <w:color w:val="666666"/>
          <w:sz w:val="30"/>
          <w:szCs w:val="30"/>
        </w:rPr>
        <w:t>;</w:t>
      </w:r>
      <w:r>
        <w:rPr>
          <w:rFonts w:ascii="SimSun" w:eastAsia="SimSun" w:hAnsi="SimSun" w:cs="SimSun"/>
          <w:color w:val="666666"/>
          <w:sz w:val="30"/>
          <w:szCs w:val="30"/>
        </w:rPr>
        <w:t>省政府奖学金</w:t>
      </w:r>
      <w:r>
        <w:rPr>
          <w:rFonts w:ascii="FangSong" w:eastAsia="FangSong" w:hAnsi="FangSong" w:cs="FangSong"/>
          <w:color w:val="666666"/>
          <w:sz w:val="30"/>
          <w:szCs w:val="30"/>
        </w:rPr>
        <w:t>8000</w:t>
      </w:r>
      <w:r>
        <w:rPr>
          <w:rFonts w:ascii="SimSun" w:eastAsia="SimSun" w:hAnsi="SimSun" w:cs="SimSun"/>
          <w:color w:val="666666"/>
          <w:sz w:val="30"/>
          <w:szCs w:val="30"/>
        </w:rPr>
        <w:t>元</w:t>
      </w:r>
      <w:r>
        <w:rPr>
          <w:rFonts w:ascii="FangSong" w:eastAsia="FangSong" w:hAnsi="FangSong" w:cs="FangSong"/>
          <w:color w:val="666666"/>
          <w:sz w:val="30"/>
          <w:szCs w:val="30"/>
        </w:rPr>
        <w:t>/</w:t>
      </w:r>
      <w:r>
        <w:rPr>
          <w:rFonts w:ascii="SimSun" w:eastAsia="SimSun" w:hAnsi="SimSun" w:cs="SimSun"/>
          <w:color w:val="666666"/>
          <w:sz w:val="30"/>
          <w:szCs w:val="30"/>
        </w:rPr>
        <w:t>年</w:t>
      </w:r>
      <w:r>
        <w:rPr>
          <w:rFonts w:ascii="FangSong" w:eastAsia="FangSong" w:hAnsi="FangSong" w:cs="FangSong"/>
          <w:color w:val="666666"/>
          <w:sz w:val="30"/>
          <w:szCs w:val="30"/>
        </w:rPr>
        <w:t>;</w:t>
      </w:r>
      <w:r>
        <w:rPr>
          <w:rFonts w:ascii="SimSun" w:eastAsia="SimSun" w:hAnsi="SimSun" w:cs="SimSun"/>
          <w:color w:val="666666"/>
          <w:sz w:val="30"/>
          <w:szCs w:val="30"/>
        </w:rPr>
        <w:t>国家励志奖学金</w:t>
      </w:r>
      <w:r>
        <w:rPr>
          <w:rFonts w:ascii="FangSong" w:eastAsia="FangSong" w:hAnsi="FangSong" w:cs="FangSong"/>
          <w:color w:val="666666"/>
          <w:sz w:val="30"/>
          <w:szCs w:val="30"/>
        </w:rPr>
        <w:t>5000</w:t>
      </w:r>
      <w:r>
        <w:rPr>
          <w:rFonts w:ascii="SimSun" w:eastAsia="SimSun" w:hAnsi="SimSun" w:cs="SimSun"/>
          <w:color w:val="666666"/>
          <w:sz w:val="30"/>
          <w:szCs w:val="30"/>
        </w:rPr>
        <w:t>元</w:t>
      </w:r>
      <w:r>
        <w:rPr>
          <w:rFonts w:ascii="FangSong" w:eastAsia="FangSong" w:hAnsi="FangSong" w:cs="FangSong"/>
          <w:color w:val="666666"/>
          <w:sz w:val="30"/>
          <w:szCs w:val="30"/>
        </w:rPr>
        <w:t>/</w:t>
      </w:r>
      <w:r>
        <w:rPr>
          <w:rFonts w:ascii="SimSun" w:eastAsia="SimSun" w:hAnsi="SimSun" w:cs="SimSun"/>
          <w:color w:val="666666"/>
          <w:sz w:val="30"/>
          <w:szCs w:val="30"/>
        </w:rPr>
        <w:t>年、国家助学金一等</w:t>
      </w:r>
      <w:r>
        <w:rPr>
          <w:rFonts w:ascii="FangSong" w:eastAsia="FangSong" w:hAnsi="FangSong" w:cs="FangSong"/>
          <w:color w:val="666666"/>
          <w:sz w:val="30"/>
          <w:szCs w:val="30"/>
        </w:rPr>
        <w:t>4000</w:t>
      </w:r>
      <w:r>
        <w:rPr>
          <w:rFonts w:ascii="SimSun" w:eastAsia="SimSun" w:hAnsi="SimSun" w:cs="SimSun"/>
          <w:color w:val="666666"/>
          <w:sz w:val="30"/>
          <w:szCs w:val="30"/>
        </w:rPr>
        <w:t>元</w:t>
      </w:r>
      <w:r>
        <w:rPr>
          <w:rFonts w:ascii="FangSong" w:eastAsia="FangSong" w:hAnsi="FangSong" w:cs="FangSong"/>
          <w:color w:val="666666"/>
          <w:sz w:val="30"/>
          <w:szCs w:val="30"/>
        </w:rPr>
        <w:t>/</w:t>
      </w:r>
      <w:r>
        <w:rPr>
          <w:rFonts w:ascii="SimSun" w:eastAsia="SimSun" w:hAnsi="SimSun" w:cs="SimSun"/>
          <w:color w:val="666666"/>
          <w:sz w:val="30"/>
          <w:szCs w:val="30"/>
        </w:rPr>
        <w:t>年、二等</w:t>
      </w:r>
      <w:r>
        <w:rPr>
          <w:rFonts w:ascii="FangSong" w:eastAsia="FangSong" w:hAnsi="FangSong" w:cs="FangSong"/>
          <w:color w:val="666666"/>
          <w:sz w:val="30"/>
          <w:szCs w:val="30"/>
        </w:rPr>
        <w:t>2500</w:t>
      </w:r>
      <w:r>
        <w:rPr>
          <w:rFonts w:ascii="SimSun" w:eastAsia="SimSun" w:hAnsi="SimSun" w:cs="SimSun"/>
          <w:color w:val="666666"/>
          <w:sz w:val="30"/>
          <w:szCs w:val="30"/>
        </w:rPr>
        <w:t>元</w:t>
      </w:r>
      <w:r>
        <w:rPr>
          <w:rFonts w:ascii="FangSong" w:eastAsia="FangSong" w:hAnsi="FangSong" w:cs="FangSong"/>
          <w:color w:val="666666"/>
          <w:sz w:val="30"/>
          <w:szCs w:val="30"/>
        </w:rPr>
        <w:t>/</w:t>
      </w:r>
      <w:r>
        <w:rPr>
          <w:rFonts w:ascii="SimSun" w:eastAsia="SimSun" w:hAnsi="SimSun" w:cs="SimSun"/>
          <w:color w:val="666666"/>
          <w:sz w:val="30"/>
          <w:szCs w:val="30"/>
        </w:rPr>
        <w:t>年以及国家生源地信用助学贷款，学费的减免等按国家、辽宁省有关文件执行。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六、录取办法说明</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1.</w:t>
      </w:r>
      <w:r>
        <w:rPr>
          <w:rFonts w:ascii="SimSun" w:eastAsia="SimSun" w:hAnsi="SimSun" w:cs="SimSun"/>
          <w:color w:val="666666"/>
          <w:sz w:val="30"/>
          <w:szCs w:val="30"/>
        </w:rPr>
        <w:t>投档比例</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2.</w:t>
      </w:r>
      <w:r>
        <w:rPr>
          <w:rFonts w:ascii="SimSun" w:eastAsia="SimSun" w:hAnsi="SimSun" w:cs="SimSun"/>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3.</w:t>
      </w:r>
      <w:r>
        <w:rPr>
          <w:rFonts w:ascii="SimSun" w:eastAsia="SimSun" w:hAnsi="SimSun" w:cs="SimSun"/>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我校</w:t>
      </w:r>
      <w:r>
        <w:rPr>
          <w:rFonts w:ascii="FangSong" w:eastAsia="FangSong" w:hAnsi="FangSong" w:cs="FangSong"/>
          <w:color w:val="666666"/>
          <w:sz w:val="30"/>
          <w:szCs w:val="30"/>
        </w:rPr>
        <w:t>2018</w:t>
      </w:r>
      <w:r>
        <w:rPr>
          <w:rFonts w:ascii="SimSun" w:eastAsia="SimSun" w:hAnsi="SimSun" w:cs="SimSun"/>
          <w:color w:val="666666"/>
          <w:sz w:val="30"/>
          <w:szCs w:val="30"/>
        </w:rPr>
        <w:t>年根据招生省（市、区）的要求决定是否实行平行志愿投档录取模式。在实行平行志愿录取的省（市、区），实行平行志愿投档录取方式；在不实行平行志愿录取的省（市、区），按考生报考志愿录取，当第一志愿上线考生数不足计划招生数时，在同批录取学校控制分数线以上，按考生志愿顺序从高分到低分择优录取；当第一志愿上线考生数多于招生计划数时，不再调阅其他志愿考生档案。</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4.</w:t>
      </w:r>
      <w:r>
        <w:rPr>
          <w:rFonts w:ascii="SimSun" w:eastAsia="SimSun" w:hAnsi="SimSun" w:cs="SimSun"/>
          <w:color w:val="666666"/>
          <w:sz w:val="30"/>
          <w:szCs w:val="30"/>
        </w:rPr>
        <w:t>对高考加分考生的处理</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在录取中执行省招考委关于加</w:t>
      </w:r>
      <w:r>
        <w:rPr>
          <w:rFonts w:ascii="SimSun" w:eastAsia="SimSun" w:hAnsi="SimSun" w:cs="SimSun"/>
          <w:color w:val="666666"/>
          <w:sz w:val="30"/>
          <w:szCs w:val="30"/>
        </w:rPr>
        <w:t>分、降分投档以及同等条件下优先录取等照顾录取规定。</w:t>
      </w:r>
    </w:p>
    <w:p>
      <w:pPr>
        <w:pBdr>
          <w:top w:val="none" w:sz="0" w:space="0" w:color="auto"/>
          <w:left w:val="none" w:sz="0" w:space="0" w:color="auto"/>
          <w:bottom w:val="none" w:sz="0" w:space="0" w:color="auto"/>
          <w:right w:val="none" w:sz="0" w:space="0" w:color="auto"/>
        </w:pBdr>
        <w:spacing w:before="0" w:after="0" w:line="58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5.</w:t>
      </w:r>
      <w:r>
        <w:rPr>
          <w:rFonts w:ascii="SimSun" w:eastAsia="SimSun" w:hAnsi="SimSun" w:cs="SimSun"/>
          <w:color w:val="666666"/>
          <w:sz w:val="30"/>
          <w:szCs w:val="30"/>
        </w:rPr>
        <w:t>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普通高考进档考生专业录取办</w:t>
      </w:r>
      <w:r>
        <w:rPr>
          <w:rFonts w:ascii="SimSun" w:eastAsia="SimSun" w:hAnsi="SimSun" w:cs="SimSun"/>
          <w:color w:val="666666"/>
          <w:sz w:val="30"/>
          <w:szCs w:val="30"/>
        </w:rPr>
        <w:t>法：对进档考生我校按志愿优先的录取原则根据考生报考的专业志愿顺序安排专业，专业级差为</w:t>
      </w:r>
      <w:r>
        <w:rPr>
          <w:rFonts w:ascii="FangSong" w:eastAsia="FangSong" w:hAnsi="FangSong" w:cs="FangSong"/>
          <w:color w:val="666666"/>
          <w:sz w:val="30"/>
          <w:szCs w:val="30"/>
        </w:rPr>
        <w:t>1</w:t>
      </w:r>
      <w:r>
        <w:rPr>
          <w:rFonts w:ascii="SimSun" w:eastAsia="SimSun" w:hAnsi="SimSun" w:cs="SimSun"/>
          <w:color w:val="666666"/>
          <w:sz w:val="30"/>
          <w:szCs w:val="30"/>
        </w:rPr>
        <w:t>分。考生报考相同专业且文化课总成绩相同时，文科考生依次按考生语文、数学、外语成绩高的优先录取。理科考生依次按考生数学、语文、外语成绩高的优先录取。</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sz w:val="30"/>
          <w:szCs w:val="30"/>
        </w:rPr>
        <w:t>中职升高职进档考生专业录取办法按照辽宁省相关文件执行。</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4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z w:val="30"/>
          <w:szCs w:val="30"/>
        </w:rPr>
        <w:t>6</w:t>
      </w:r>
      <w:r>
        <w:rPr>
          <w:rFonts w:ascii="SimSun" w:eastAsia="SimSun" w:hAnsi="SimSun" w:cs="SimSun"/>
          <w:color w:val="666666"/>
          <w:sz w:val="30"/>
          <w:szCs w:val="30"/>
        </w:rPr>
        <w:t>．联系电话、网址</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联系电话：</w:t>
      </w:r>
      <w:r>
        <w:rPr>
          <w:rFonts w:ascii="FangSong" w:eastAsia="FangSong" w:hAnsi="FangSong" w:cs="FangSong"/>
          <w:color w:val="666666"/>
          <w:sz w:val="30"/>
          <w:szCs w:val="30"/>
        </w:rPr>
        <w:t>0417</w:t>
      </w:r>
      <w:r>
        <w:rPr>
          <w:rFonts w:ascii="SimSun" w:eastAsia="SimSun" w:hAnsi="SimSun" w:cs="SimSun"/>
          <w:color w:val="666666"/>
          <w:sz w:val="30"/>
          <w:szCs w:val="30"/>
        </w:rPr>
        <w:t>—</w:t>
      </w:r>
      <w:r>
        <w:rPr>
          <w:rFonts w:ascii="FangSong" w:eastAsia="FangSong" w:hAnsi="FangSong" w:cs="FangSong"/>
          <w:color w:val="666666"/>
          <w:sz w:val="30"/>
          <w:szCs w:val="30"/>
        </w:rPr>
        <w:t>2833141</w:t>
      </w:r>
      <w:r>
        <w:rPr>
          <w:rFonts w:ascii="Calibri" w:eastAsia="Calibri" w:hAnsi="Calibri" w:cs="Calibri"/>
          <w:color w:val="666666"/>
          <w:sz w:val="30"/>
          <w:szCs w:val="30"/>
        </w:rPr>
        <w:t>  </w:t>
      </w:r>
      <w:r>
        <w:rPr>
          <w:rFonts w:ascii="FangSong" w:eastAsia="FangSong" w:hAnsi="FangSong" w:cs="FangSong"/>
          <w:color w:val="666666"/>
          <w:sz w:val="30"/>
          <w:szCs w:val="30"/>
        </w:rPr>
        <w:t xml:space="preserve"> 2826621</w:t>
      </w:r>
      <w:r>
        <w:rPr>
          <w:rFonts w:ascii="Calibri" w:eastAsia="Calibri" w:hAnsi="Calibri" w:cs="Calibri"/>
          <w:color w:val="666666"/>
          <w:sz w:val="30"/>
          <w:szCs w:val="30"/>
        </w:rPr>
        <w:t> </w:t>
      </w:r>
      <w:r>
        <w:rPr>
          <w:rFonts w:ascii="FangSong" w:eastAsia="FangSong" w:hAnsi="FangSong" w:cs="FangSong"/>
          <w:color w:val="666666"/>
          <w:sz w:val="30"/>
          <w:szCs w:val="30"/>
        </w:rPr>
        <w:t>2840511</w:t>
      </w:r>
      <w:r>
        <w:rPr>
          <w:rFonts w:ascii="Calibri" w:eastAsia="Calibri" w:hAnsi="Calibri" w:cs="Calibri"/>
          <w:color w:val="666666"/>
          <w:sz w:val="30"/>
          <w:szCs w:val="30"/>
        </w:rPr>
        <w:t>  </w:t>
      </w:r>
      <w:r>
        <w:rPr>
          <w:rFonts w:ascii="FangSong" w:eastAsia="FangSong" w:hAnsi="FangSong" w:cs="FangSong"/>
          <w:color w:val="666666"/>
          <w:sz w:val="30"/>
          <w:szCs w:val="30"/>
        </w:rPr>
        <w:t xml:space="preserve"> 2801933</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传</w:t>
      </w:r>
      <w:r>
        <w:rPr>
          <w:rFonts w:ascii="Calibri" w:eastAsia="Calibri" w:hAnsi="Calibri" w:cs="Calibri"/>
          <w:color w:val="666666"/>
          <w:sz w:val="30"/>
          <w:szCs w:val="30"/>
        </w:rPr>
        <w:t>    </w:t>
      </w:r>
      <w:r>
        <w:rPr>
          <w:rFonts w:ascii="SimSun" w:eastAsia="SimSun" w:hAnsi="SimSun" w:cs="SimSun"/>
          <w:color w:val="666666"/>
          <w:sz w:val="30"/>
          <w:szCs w:val="30"/>
        </w:rPr>
        <w:t>真：</w:t>
      </w:r>
      <w:r>
        <w:rPr>
          <w:rFonts w:ascii="FangSong" w:eastAsia="FangSong" w:hAnsi="FangSong" w:cs="FangSong"/>
          <w:color w:val="666666"/>
          <w:sz w:val="30"/>
          <w:szCs w:val="30"/>
        </w:rPr>
        <w:t>0417</w:t>
      </w:r>
      <w:r>
        <w:rPr>
          <w:rFonts w:ascii="SimSun" w:eastAsia="SimSun" w:hAnsi="SimSun" w:cs="SimSun"/>
          <w:color w:val="666666"/>
          <w:sz w:val="30"/>
          <w:szCs w:val="30"/>
        </w:rPr>
        <w:t>—</w:t>
      </w:r>
      <w:r>
        <w:rPr>
          <w:rFonts w:ascii="FangSong" w:eastAsia="FangSong" w:hAnsi="FangSong" w:cs="FangSong"/>
          <w:color w:val="666666"/>
          <w:sz w:val="30"/>
          <w:szCs w:val="30"/>
        </w:rPr>
        <w:t>2834241</w:t>
      </w:r>
      <w:r>
        <w:rPr>
          <w:rFonts w:ascii="Calibri" w:eastAsia="Calibri" w:hAnsi="Calibri" w:cs="Calibri"/>
          <w:color w:val="666666"/>
          <w:sz w:val="30"/>
          <w:szCs w:val="30"/>
        </w:rPr>
        <w:t>   </w:t>
      </w:r>
      <w:r>
        <w:rPr>
          <w:rFonts w:ascii="SimSun" w:eastAsia="SimSun" w:hAnsi="SimSun" w:cs="SimSun"/>
          <w:color w:val="666666"/>
          <w:sz w:val="30"/>
          <w:szCs w:val="30"/>
        </w:rPr>
        <w:t>网</w:t>
      </w:r>
      <w:r>
        <w:rPr>
          <w:rFonts w:ascii="Calibri" w:eastAsia="Calibri" w:hAnsi="Calibri" w:cs="Calibri"/>
          <w:color w:val="666666"/>
          <w:sz w:val="30"/>
          <w:szCs w:val="30"/>
        </w:rPr>
        <w:t>    </w:t>
      </w:r>
      <w:r>
        <w:rPr>
          <w:rFonts w:ascii="SimSun" w:eastAsia="SimSun" w:hAnsi="SimSun" w:cs="SimSun"/>
          <w:color w:val="666666"/>
          <w:sz w:val="30"/>
          <w:szCs w:val="30"/>
        </w:rPr>
        <w:t>址：</w:t>
      </w:r>
      <w:hyperlink r:id="rId4" w:history="1">
        <w:r>
          <w:rPr>
            <w:rFonts w:ascii="FangSong" w:eastAsia="FangSong" w:hAnsi="FangSong" w:cs="FangSong"/>
            <w:color w:val="0000FF"/>
            <w:sz w:val="30"/>
            <w:szCs w:val="30"/>
            <w:u w:val="single" w:color="666666"/>
          </w:rPr>
          <w:t>www.ykdx.net</w:t>
        </w:r>
      </w:hyperlink>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95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firstLine="495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firstLine="4950"/>
        <w:rPr>
          <w:rFonts w:ascii="Microsoft YaHei" w:eastAsia="Microsoft YaHei" w:hAnsi="Microsoft YaHei" w:cs="Microsoft YaHei"/>
          <w:color w:val="666666"/>
          <w:sz w:val="21"/>
          <w:szCs w:val="21"/>
        </w:rPr>
      </w:pPr>
      <w:r>
        <w:rPr>
          <w:rFonts w:ascii="SimSun" w:eastAsia="SimSun" w:hAnsi="SimSun" w:cs="SimSun"/>
          <w:color w:val="666666"/>
          <w:sz w:val="30"/>
          <w:szCs w:val="30"/>
        </w:rPr>
        <w:t>营口职业技术学院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抚顺师范高等专科学校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606/19771.html" TargetMode="External" /><Relationship Id="rId11" Type="http://schemas.openxmlformats.org/officeDocument/2006/relationships/hyperlink" Target="http://www.gk114.com/a/gxzs/zszc/liaoning/2021/0510/19599.html" TargetMode="External" /><Relationship Id="rId12" Type="http://schemas.openxmlformats.org/officeDocument/2006/relationships/hyperlink" Target="http://www.gk114.com/a/gxzs/zszc/liaoning/2021/0510/19597.html" TargetMode="External" /><Relationship Id="rId13" Type="http://schemas.openxmlformats.org/officeDocument/2006/relationships/hyperlink" Target="http://www.gk114.com/a/gxzs/zszc/liaoning/2021/0510/19596.html" TargetMode="External" /><Relationship Id="rId14" Type="http://schemas.openxmlformats.org/officeDocument/2006/relationships/hyperlink" Target="http://www.gk114.com/a/gxzs/zszc/liaoning/2021/0328/19252.html" TargetMode="External" /><Relationship Id="rId15" Type="http://schemas.openxmlformats.org/officeDocument/2006/relationships/hyperlink" Target="http://www.gk114.com/a/gxzs/zszc/liaoning/2021/0328/19251.html" TargetMode="External" /><Relationship Id="rId16" Type="http://schemas.openxmlformats.org/officeDocument/2006/relationships/hyperlink" Target="http://www.gk114.com/a/gxzs/zszc/liaoning/2021/0328/19250.html" TargetMode="External" /><Relationship Id="rId17" Type="http://schemas.openxmlformats.org/officeDocument/2006/relationships/hyperlink" Target="http://www.gk114.com/a/gxzs/zszc/liaoning/2021/0328/19249.html" TargetMode="External" /><Relationship Id="rId18" Type="http://schemas.openxmlformats.org/officeDocument/2006/relationships/hyperlink" Target="http://www.gk114.com/a/gxzs/zszc/liaoning/2022/0615/22779.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kdx.net/" TargetMode="External" /><Relationship Id="rId5" Type="http://schemas.openxmlformats.org/officeDocument/2006/relationships/hyperlink" Target="http://www.gk114.com/a/gxzs/zszc/liaoning/2019/0221/6496.html" TargetMode="External" /><Relationship Id="rId6" Type="http://schemas.openxmlformats.org/officeDocument/2006/relationships/hyperlink" Target="http://www.gk114.com/a/gxzs/zszc/liaoning/2019/0221/6498.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3/22768.html" TargetMode="External" /><Relationship Id="rId9" Type="http://schemas.openxmlformats.org/officeDocument/2006/relationships/hyperlink" Target="http://www.gk114.com/a/gxzs/zszc/liaoning/2022/0613/22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