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衡水学院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为确保学校普通高考招生工作顺利进行，维护考生合法权益，规范招生行为，提高生源质量，依照国家法律法规、教育部和河北省相关规定，结合学校实际，特制定本章程。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本章程适用于衡水学院</w:t>
      </w:r>
      <w:r>
        <w:rPr>
          <w:rFonts w:ascii="Times New Roman" w:eastAsia="Times New Roman" w:hAnsi="Times New Roman" w:cs="Times New Roman"/>
        </w:rPr>
        <w:t>2018</w:t>
      </w:r>
      <w:r>
        <w:rPr>
          <w:rFonts w:ascii="SimSun" w:eastAsia="SimSun" w:hAnsi="SimSun" w:cs="SimSun"/>
        </w:rPr>
        <w:t>年普通本、专科招生工作。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学校基本信息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学校名称：衡水学院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学校代码：</w:t>
      </w:r>
      <w:r>
        <w:rPr>
          <w:rFonts w:ascii="Times New Roman" w:eastAsia="Times New Roman" w:hAnsi="Times New Roman" w:cs="Times New Roman"/>
        </w:rPr>
        <w:t xml:space="preserve">10101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办学层次：普通本科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办学类型：公办全日制普通高等学校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学校地址：河北省衡水市和平西路</w:t>
      </w:r>
      <w:r>
        <w:rPr>
          <w:rFonts w:ascii="Times New Roman" w:eastAsia="Times New Roman" w:hAnsi="Times New Roman" w:cs="Times New Roman"/>
        </w:rPr>
        <w:t>1088</w:t>
      </w:r>
      <w:r>
        <w:rPr>
          <w:rFonts w:ascii="SimSun" w:eastAsia="SimSun" w:hAnsi="SimSun" w:cs="SimSun"/>
        </w:rPr>
        <w:t>号（邮政编码：</w:t>
      </w:r>
      <w:r>
        <w:rPr>
          <w:rFonts w:ascii="Times New Roman" w:eastAsia="Times New Roman" w:hAnsi="Times New Roman" w:cs="Times New Roman"/>
        </w:rPr>
        <w:t>053000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衡水学院招生计划均经教育部审核批准。具体分省（自治区、直辖市）分专业招生计划、收费标准由各省（自治区、直辖市）高校招生管理部门统一向社会公布。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学校无预留计划。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校成立由校长任组长、相关副校长和学校纪委书记任副组长、相关部门负责人及二级学院院长为成员的招生工作领导小组，负责制定本、专科招生录取政策和实施细则，讨论决定本、专科招生录取重大事项。教务处负责学校本、专科招生录取具体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学校招生录取工作不委托任何中介机构代办。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学校坚持公平、公正、公开、择优的原则，按照教育部制定的《普通高等学校招生体检工作指导意见》，德智体美全面考核、综合评价、择优录取。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学校执行国家规定的加分政策，原则同意各省（自治区、直辖市）招生部门有关加分、优先录取和降分投档的政策规定，按照各省（自治区、直辖市）招生部门实际投档分数实施录取工作。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以各省（自治区、直辖市）招生部门实际公布为准。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对进档考生，学校依据</w:t>
      </w:r>
      <w:r>
        <w:rPr>
          <w:rFonts w:ascii="Times New Roman" w:eastAsia="Times New Roman" w:hAnsi="Times New Roman" w:cs="Times New Roman"/>
        </w:rPr>
        <w:t>“</w:t>
      </w:r>
      <w:r>
        <w:rPr>
          <w:rFonts w:ascii="SimSun" w:eastAsia="SimSun" w:hAnsi="SimSun" w:cs="SimSun"/>
        </w:rPr>
        <w:t>专业志愿优先</w:t>
      </w:r>
      <w:r>
        <w:rPr>
          <w:rFonts w:ascii="Times New Roman" w:eastAsia="Times New Roman" w:hAnsi="Times New Roman" w:cs="Times New Roman"/>
        </w:rPr>
        <w:t>”</w:t>
      </w:r>
      <w:r>
        <w:rPr>
          <w:rFonts w:ascii="SimSun" w:eastAsia="SimSun" w:hAnsi="SimSun" w:cs="SimSun"/>
        </w:rPr>
        <w:t>的录取原则，安排考生专业志愿，专业志愿间无分数级差。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对文史、理工类进档考生，投档成绩相同时，文史类考生依次按语文、数学、外语单科成绩排序，从高分到低分录取；理工类考生依次按数学、语文、外语单科成绩排序，从高分到低分录取。当考生成绩无法满足所填报专业志愿时，学校将专业服从调剂的考生录取到招生计划尚未完成的专业，直至录满；对按以上原则无法满足专业志愿，且不服从调剂的考生，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在内蒙古录取时，对进档考生实行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的录取规则；在江苏省录取时，录取实行</w:t>
      </w:r>
      <w:r>
        <w:rPr>
          <w:rFonts w:ascii="Times New Roman" w:eastAsia="Times New Roman" w:hAnsi="Times New Roman" w:cs="Times New Roman"/>
        </w:rPr>
        <w:t>“</w:t>
      </w:r>
      <w:r>
        <w:rPr>
          <w:rFonts w:ascii="SimSun" w:eastAsia="SimSun" w:hAnsi="SimSun" w:cs="SimSun"/>
        </w:rPr>
        <w:t>先分数后等级</w:t>
      </w:r>
      <w:r>
        <w:rPr>
          <w:rFonts w:ascii="Times New Roman" w:eastAsia="Times New Roman" w:hAnsi="Times New Roman" w:cs="Times New Roman"/>
        </w:rPr>
        <w:t>”</w:t>
      </w:r>
      <w:r>
        <w:rPr>
          <w:rFonts w:ascii="SimSun" w:eastAsia="SimSun" w:hAnsi="SimSun" w:cs="SimSun"/>
        </w:rPr>
        <w:t>的原则录取。对普通文科类、理科类考生选测科目等级要求达到</w:t>
      </w:r>
      <w:r>
        <w:rPr>
          <w:rFonts w:ascii="Times New Roman" w:eastAsia="Times New Roman" w:hAnsi="Times New Roman" w:cs="Times New Roman"/>
        </w:rPr>
        <w:t>C</w:t>
      </w:r>
      <w:r>
        <w:rPr>
          <w:rFonts w:ascii="SimSun" w:eastAsia="SimSun" w:hAnsi="SimSun" w:cs="SimSun"/>
        </w:rPr>
        <w:t>以上；在上海市录取时，各专业选考科目要求以当地公布为准。进档考生按专业组分别进行专业录取，若考生所填专业均已录满，学校则依据考生填报的服从专业志愿调剂情况在考生所投档的专业组内进行专业调剂录取；在浙江省录取时，各专业选考科目要求以当地公布为准。进档考生按所填报专业志愿进行录取，未录取考生不进行专业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艺术类各专业录取原则。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1. </w:t>
      </w:r>
      <w:r>
        <w:rPr>
          <w:rFonts w:ascii="SimSun" w:eastAsia="SimSun" w:hAnsi="SimSun" w:cs="SimSun"/>
        </w:rPr>
        <w:t>艺术类各专业，使用相应省联考（统考）成绩或我校认可的其他院校校考成绩的：音乐与舞蹈学类专业、美术类专业考生，文化课、专业课均达到该省控制线，按专业成绩依次从高分到低分录取；播音与主持艺术专业、广播电视编导专业考生按综合成绩（综合成绩</w:t>
      </w:r>
      <w:r>
        <w:rPr>
          <w:rFonts w:ascii="Times New Roman" w:eastAsia="Times New Roman" w:hAnsi="Times New Roman" w:cs="Times New Roman"/>
        </w:rPr>
        <w:t>=</w:t>
      </w:r>
      <w:r>
        <w:rPr>
          <w:rFonts w:ascii="SimSun" w:eastAsia="SimSun" w:hAnsi="SimSun" w:cs="SimSun"/>
        </w:rPr>
        <w:t>专业联考成绩</w:t>
      </w:r>
      <w:r>
        <w:rPr>
          <w:rFonts w:ascii="Times New Roman" w:eastAsia="Times New Roman" w:hAnsi="Times New Roman" w:cs="Times New Roman"/>
        </w:rPr>
        <w:t>×70%+</w:t>
      </w:r>
      <w:r>
        <w:rPr>
          <w:rFonts w:ascii="SimSun" w:eastAsia="SimSun" w:hAnsi="SimSun" w:cs="SimSun"/>
        </w:rPr>
        <w:t>（高考文化成绩</w:t>
      </w:r>
      <w:r>
        <w:rPr>
          <w:rFonts w:ascii="Times New Roman" w:eastAsia="Times New Roman" w:hAnsi="Times New Roman" w:cs="Times New Roman"/>
        </w:rPr>
        <w:t>+</w:t>
      </w:r>
      <w:r>
        <w:rPr>
          <w:rFonts w:ascii="SimSun" w:eastAsia="SimSun" w:hAnsi="SimSun" w:cs="SimSun"/>
        </w:rPr>
        <w:t>政策性加分）</w:t>
      </w:r>
      <w:r>
        <w:rPr>
          <w:rFonts w:ascii="Times New Roman" w:eastAsia="Times New Roman" w:hAnsi="Times New Roman" w:cs="Times New Roman"/>
        </w:rPr>
        <w:t>×30%</w:t>
      </w:r>
      <w:r>
        <w:rPr>
          <w:rFonts w:ascii="SimSun" w:eastAsia="SimSun" w:hAnsi="SimSun" w:cs="SimSun"/>
        </w:rPr>
        <w:t>）依次从高分到低分录取。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同分考生处理办法：按专业成绩录取的省份、专业，专业成绩相同的，按高考文化成绩依次从高分到低分录取，若高考文化成绩仍相同，则依次按语文、数学、外语单科成绩排序，从高分到低分录取。按综合成绩录取的省份、专业，综合成绩相同的，按专业成绩依次从高分到低分录取，若专业成绩仍相同，则依次按语文、数学、外语单科成绩排序，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体育类各专业承认生源省（自治区、直辖市）联考（统考）专业成绩，考生高考文化成绩、专业成绩均达到该省控制线，对进档考生按专业成绩依次从高分到低分录取；专业成绩相同的，按高考文化成绩依次从高分到低分录取，若高考文化成绩仍相同，则依次按语文、数学、外语单科成绩排序，从高分到低分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汉语国际教育、翻译、英语类各专业限招英语语种考生。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考生身体健康状况的检查，按照教育部、卫生部、中国残疾人联合会印发的《普通高等学校招生体检工作指导意见》和《教育部办公厅、卫生部办公厅关于普通高等学校招生学生入学身体检查取消乙肝项目检测有关问题的通知》（教学厅</w:t>
      </w:r>
      <w:r>
        <w:rPr>
          <w:rFonts w:ascii="Cambria Math" w:eastAsia="Cambria Math" w:hAnsi="Cambria Math" w:cs="Cambria Math"/>
        </w:rPr>
        <w:t>〔</w:t>
      </w:r>
      <w:r>
        <w:rPr>
          <w:rFonts w:ascii="Times New Roman" w:eastAsia="Times New Roman" w:hAnsi="Times New Roman" w:cs="Times New Roman"/>
        </w:rPr>
        <w:t>2010</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号）等文件的有关规定执行。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学校招生工作接受纪检监察部门、新闻媒体、考生及其家长和社会各界的监督。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以上录取原则与生源省（自治区、直辖市）政策不符的，按生源省（自治区、直辖市）政策执行。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学校公共外语教学为英语。非英语语种的考生报考非外语专业，请审慎填报。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按类招生专业录取的考生，入学后根据学校有关规定分选具体专业。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在学校规定期限内达到所在专业毕业要求，由学校具印颁发经教育部电子注册、国家承认学历的本、专科学历证书（证书种类为普通高等教育毕业证书）；本科毕业生符合学校学位授予条件的，由学校颁发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本校实行学分制收费方式。学费由专业学费和学分学费两部分构成。新生入学时按学年制的学费标准预收学分学费和专业学费。费待定，以省物价部门批准的标准执行。学校统一安排住宿，八人间住宿费标准为</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学年，六人间住宿费标准为</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以上收费和学生在校学习期间发生的其他费用如遇政策调整，以调整后的收费政策为准。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学校设有多种奖学金，鼓励优秀考生报考我校，并对品学兼优、学有专长的学生予以奖励；设有助学金和勤工助学岗位，资助家庭经济困难学生。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学校地址：河北省衡水市和平西路</w:t>
      </w:r>
      <w:r>
        <w:rPr>
          <w:rFonts w:ascii="Times New Roman" w:eastAsia="Times New Roman" w:hAnsi="Times New Roman" w:cs="Times New Roman"/>
        </w:rPr>
        <w:t>1088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053000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招办电话：</w:t>
      </w:r>
      <w:r>
        <w:rPr>
          <w:rFonts w:ascii="Times New Roman" w:eastAsia="Times New Roman" w:hAnsi="Times New Roman" w:cs="Times New Roman"/>
        </w:rPr>
        <w:t xml:space="preserve">0318-6016093 6016910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E-mail:hsuzs@163.com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学校网址：</w:t>
      </w:r>
      <w:r>
        <w:rPr>
          <w:rFonts w:ascii="Times New Roman" w:eastAsia="Times New Roman" w:hAnsi="Times New Roman" w:cs="Times New Roman"/>
        </w:rPr>
        <w:t xml:space="preserve">http://www.hsnc.edu.cn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招办网址：</w:t>
      </w:r>
      <w:r>
        <w:rPr>
          <w:rFonts w:ascii="Times New Roman" w:eastAsia="Times New Roman" w:hAnsi="Times New Roman" w:cs="Times New Roman"/>
        </w:rPr>
        <w:t xml:space="preserve">http://zhaosheng.hsnc.edu.cn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本章程自颁布之日起生效，由学校招生工作领导小组负责解释。学校以往规定凡与本章程有不一致之处，均以本章程为准。本章程若与国家有关政策相悖之处，以国家的政策和规定为准。未尽事宜，按国家有关普通高校年度招生工作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唐山师范学院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河北农业大学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r>
          <w:rPr>
            <w:rFonts w:ascii="Times New Roman" w:eastAsia="Times New Roman" w:hAnsi="Times New Roman" w:cs="Times New Roman"/>
            <w:color w:val="0000EE"/>
            <w:u w:val="single" w:color="0000EE"/>
          </w:rPr>
          <w:t xml:space="preserve"> </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5.html" TargetMode="External" /><Relationship Id="rId11" Type="http://schemas.openxmlformats.org/officeDocument/2006/relationships/hyperlink" Target="http://www.gk114.com/a/gxzs/zszc/hebei/2022/0601/22634.html" TargetMode="External" /><Relationship Id="rId12" Type="http://schemas.openxmlformats.org/officeDocument/2006/relationships/hyperlink" Target="http://www.gk114.com/a/gxzs/zszc/hebei/2022/0601/22633.html" TargetMode="External" /><Relationship Id="rId13" Type="http://schemas.openxmlformats.org/officeDocument/2006/relationships/hyperlink" Target="http://www.gk114.com/a/gxzs/zszc/hebei/2021/1008/21075.html" TargetMode="External" /><Relationship Id="rId14" Type="http://schemas.openxmlformats.org/officeDocument/2006/relationships/hyperlink" Target="http://www.gk114.com/a/gxzs/zszc/hebei/2021/1008/21074.html" TargetMode="External" /><Relationship Id="rId15" Type="http://schemas.openxmlformats.org/officeDocument/2006/relationships/hyperlink" Target="http://www.gk114.com/a/gxzs/zszc/hebei/2021/1008/21073.html" TargetMode="External" /><Relationship Id="rId16" Type="http://schemas.openxmlformats.org/officeDocument/2006/relationships/hyperlink" Target="http://www.gk114.com/a/gxzs/zszc/hebei/2021/1008/21072.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03.html" TargetMode="External" /><Relationship Id="rId5" Type="http://schemas.openxmlformats.org/officeDocument/2006/relationships/hyperlink" Target="http://www.gk114.com/a/gxzs/zszc/hebei/2019/0221/6405.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7.html" TargetMode="External" /><Relationship Id="rId9" Type="http://schemas.openxmlformats.org/officeDocument/2006/relationships/hyperlink" Target="http://www.gk114.com/a/gxzs/zszc/hebei/2022/0601/226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