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贵州中医药大学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贵州中医药大学是贵州省属公办普通高等院校，面向全国招生。学校代码：</w:t>
      </w:r>
      <w:r>
        <w:rPr>
          <w:rFonts w:ascii="Times New Roman" w:eastAsia="Times New Roman" w:hAnsi="Times New Roman" w:cs="Times New Roman"/>
        </w:rPr>
        <w:t>4152010662</w:t>
      </w:r>
      <w:r>
        <w:rPr>
          <w:rFonts w:ascii="SimSun" w:eastAsia="SimSun" w:hAnsi="SimSun" w:cs="SimSun"/>
        </w:rPr>
        <w:t>；办学性质：公办；办学层次：研究生、本科、高等职业教育；办学类型：普通高等教育；学习形式：普通全日制。学校分为甲秀校区及花溪校区。甲秀校区位于贵阳市市东路</w:t>
      </w:r>
      <w:r>
        <w:rPr>
          <w:rFonts w:ascii="Times New Roman" w:eastAsia="Times New Roman" w:hAnsi="Times New Roman" w:cs="Times New Roman"/>
        </w:rPr>
        <w:t>50</w:t>
      </w:r>
      <w:r>
        <w:rPr>
          <w:rFonts w:ascii="SimSun" w:eastAsia="SimSun" w:hAnsi="SimSun" w:cs="SimSun"/>
        </w:rPr>
        <w:t>号；花溪校区位于贵阳市贵安新区大学城栋青南路。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贵州中医药大学成立普通本科招生工作委员会</w:t>
      </w:r>
      <w:r>
        <w:rPr>
          <w:rFonts w:ascii="Times New Roman" w:eastAsia="Times New Roman" w:hAnsi="Times New Roman" w:cs="Times New Roman"/>
        </w:rPr>
        <w:t xml:space="preserve"> (</w:t>
      </w:r>
      <w:r>
        <w:rPr>
          <w:rFonts w:ascii="SimSun" w:eastAsia="SimSun" w:hAnsi="SimSun" w:cs="SimSun"/>
        </w:rPr>
        <w:t>下设招生办公室</w:t>
      </w:r>
      <w:r>
        <w:rPr>
          <w:rFonts w:ascii="Times New Roman" w:eastAsia="Times New Roman" w:hAnsi="Times New Roman" w:cs="Times New Roman"/>
        </w:rPr>
        <w:t>)</w:t>
      </w:r>
      <w:r>
        <w:rPr>
          <w:rFonts w:ascii="SimSun" w:eastAsia="SimSun" w:hAnsi="SimSun" w:cs="SimSun"/>
        </w:rPr>
        <w:t>。学校普通本科招生录取工作在学校普通本科招生工作委员会的领导下，贯彻落实教育部、省招生委员会招生工作的有关政策，按照学校党委、行政和普通本科招生工作委员会有关招生工作的决议和决定，全面负责学校普通本科招生录取工作（含少数民族预科、专升本、二学位转录等特殊类别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学校的招生计划将严格按照当年教育部、各省（市、自治区）教育行政管理部门批准的招生专业和计划数执行，具体招生计划详见学校当年分省分专业招生计划表。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录取批次：提前本科、一批次本科、专项计划、免费医学定向、二批次本科、少数民族预科等（具体根据各地考试招生主管部门制定的录取工作安排实施）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本章程是我校向社会公布招生方案和录取规则等招生信息的主要形式，已经贵州省教育厅、贵州省招生考试院审查。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学校按照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的录取体制实行远程网上录取。录取工作由学校招生部门具体负责执行。在录取中，按教育部以及各省（市、区）教育厅、招生主管部门的有关规定行使和履行学校的权力、责任和义务。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录取原则、政策规定、录取工作程序及录取工作纪律严格按照教育部有关政策规定，以及各省（市、区）招生工作规定、录取新生工作规则，以及《贵州中医药大学录取工作规则》等有关规定执行。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学校根据各省（自治区、直辖市）生源情况确定提档比例，提档比例一般在招生计划的</w:t>
      </w:r>
      <w:r>
        <w:rPr>
          <w:rFonts w:ascii="Times New Roman" w:eastAsia="Times New Roman" w:hAnsi="Times New Roman" w:cs="Times New Roman"/>
        </w:rPr>
        <w:t>120%</w:t>
      </w:r>
      <w:r>
        <w:rPr>
          <w:rFonts w:ascii="SimSun" w:eastAsia="SimSun" w:hAnsi="SimSun" w:cs="SimSun"/>
        </w:rPr>
        <w:t>以内。学校按照各省（自治区、直辖市）招生考试机构提供的考生电子档案信息作为录取新生的依据。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对符合录取条件和要求的考生，学校将按</w:t>
      </w:r>
      <w:r>
        <w:rPr>
          <w:rFonts w:ascii="Times New Roman" w:eastAsia="Times New Roman" w:hAnsi="Times New Roman" w:cs="Times New Roman"/>
        </w:rPr>
        <w:t>“</w:t>
      </w:r>
      <w:r>
        <w:rPr>
          <w:rFonts w:ascii="SimSun" w:eastAsia="SimSun" w:hAnsi="SimSun" w:cs="SimSun"/>
        </w:rPr>
        <w:t>分数优先（分数以投档成绩为准）</w:t>
      </w:r>
      <w:r>
        <w:rPr>
          <w:rFonts w:ascii="Times New Roman" w:eastAsia="Times New Roman" w:hAnsi="Times New Roman" w:cs="Times New Roman"/>
        </w:rPr>
        <w:t>”</w:t>
      </w:r>
      <w:r>
        <w:rPr>
          <w:rFonts w:ascii="SimSun" w:eastAsia="SimSun" w:hAnsi="SimSun" w:cs="SimSun"/>
        </w:rPr>
        <w:t>的原则，从高分到低分按照考生的专业志愿顺序依次择优录取，若遇考生高考总分相同时，按考生高考的语文、数学、外语三科成绩的总分从高到低排序</w:t>
      </w:r>
      <w:r>
        <w:rPr>
          <w:rFonts w:ascii="Times New Roman" w:eastAsia="Times New Roman" w:hAnsi="Times New Roman" w:cs="Times New Roman"/>
        </w:rPr>
        <w:t>;</w:t>
      </w:r>
      <w:r>
        <w:rPr>
          <w:rFonts w:ascii="SimSun" w:eastAsia="SimSun" w:hAnsi="SimSun" w:cs="SimSun"/>
        </w:rPr>
        <w:t>若再遇相同分数，则依次按语文、数学单科成绩顺序进行排序。对填报专业志愿已满，同时服从专业调剂的，学校将根据分数调剂到尚未完成计划的专业。对总分偏低或又不服从专业调剂者予以退档处理。对考试科目、录取规则有特殊要求的省份（如江苏等），按照该省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特殊类别专业招生录取。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）少数民族预科的录取，按照教育部和国家民委有关规定执行。录取的预科学生必须先进行为期一年的文化学习，学习成绩合格并通过考核后可升入本科专业就读。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）中医学（免费医学定向生）专业只在省内招生，属于国家免费医学生，并且只招收文科考生。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）中医学（</w:t>
      </w:r>
      <w:r>
        <w:rPr>
          <w:rFonts w:ascii="Times New Roman" w:eastAsia="Times New Roman" w:hAnsi="Times New Roman" w:cs="Times New Roman"/>
        </w:rPr>
        <w:t>5+3</w:t>
      </w:r>
      <w:r>
        <w:rPr>
          <w:rFonts w:ascii="SimSun" w:eastAsia="SimSun" w:hAnsi="SimSun" w:cs="SimSun"/>
        </w:rPr>
        <w:t>一体化培养班）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学校在教育部关于进一步做好</w:t>
      </w:r>
      <w:r>
        <w:rPr>
          <w:rFonts w:ascii="Times New Roman" w:eastAsia="Times New Roman" w:hAnsi="Times New Roman" w:cs="Times New Roman"/>
        </w:rPr>
        <w:t>“5+3”</w:t>
      </w:r>
      <w:r>
        <w:rPr>
          <w:rFonts w:ascii="SimSun" w:eastAsia="SimSun" w:hAnsi="SimSun" w:cs="SimSun"/>
        </w:rPr>
        <w:t>一体化医学人才培养工作的若干意见（教高</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号）政策支持下开设</w:t>
      </w:r>
      <w:r>
        <w:rPr>
          <w:rFonts w:ascii="Times New Roman" w:eastAsia="Times New Roman" w:hAnsi="Times New Roman" w:cs="Times New Roman"/>
        </w:rPr>
        <w:t>5+3</w:t>
      </w:r>
      <w:r>
        <w:rPr>
          <w:rFonts w:ascii="SimSun" w:eastAsia="SimSun" w:hAnsi="SimSun" w:cs="SimSun"/>
        </w:rPr>
        <w:t>一体化培养班</w:t>
      </w:r>
      <w:r>
        <w:rPr>
          <w:rFonts w:ascii="Times New Roman" w:eastAsia="Times New Roman" w:hAnsi="Times New Roman" w:cs="Times New Roman"/>
        </w:rPr>
        <w:t>5+3</w:t>
      </w:r>
      <w:r>
        <w:rPr>
          <w:rFonts w:ascii="SimSun" w:eastAsia="SimSun" w:hAnsi="SimSun" w:cs="SimSun"/>
        </w:rPr>
        <w:t>一体化培养班以国医大师刘尚义教授的名字命名为尚义班。模式主要在于推动临床实践教学体系改革，实施早临床、多临床、反复临床，加强医学生中医临床思维能力和临床操作的规范化培养。严格临床教学与实习管理，本科教育阶段临床通科实习要注重学生临床基本技能的训练，研究生教育阶段临床能力培养要按照住院医师规范化培训要求进行，注重学生临床综合能力的培养。优先将</w:t>
      </w:r>
      <w:r>
        <w:rPr>
          <w:rFonts w:ascii="Times New Roman" w:eastAsia="Times New Roman" w:hAnsi="Times New Roman" w:cs="Times New Roman"/>
        </w:rPr>
        <w:t>5+3</w:t>
      </w:r>
      <w:r>
        <w:rPr>
          <w:rFonts w:ascii="SimSun" w:eastAsia="SimSun" w:hAnsi="SimSun" w:cs="SimSun"/>
        </w:rPr>
        <w:t>一体化培养班的学生安排在附属医院进行临床通科实习和接受住院医师规范化培训。计划招生</w:t>
      </w:r>
      <w:r>
        <w:rPr>
          <w:rFonts w:ascii="Times New Roman" w:eastAsia="Times New Roman" w:hAnsi="Times New Roman" w:cs="Times New Roman"/>
        </w:rPr>
        <w:t>60</w:t>
      </w:r>
      <w:r>
        <w:rPr>
          <w:rFonts w:ascii="SimSun" w:eastAsia="SimSun" w:hAnsi="SimSun" w:cs="SimSun"/>
        </w:rPr>
        <w:t>名。该班新生录取后，实行多维度导师制，注重中医思维培养和临床技能强化，实施多元化考核，实行淘汰制（根据学生学习成绩，对每学年班级成绩排名最后</w:t>
      </w:r>
      <w:r>
        <w:rPr>
          <w:rFonts w:ascii="Times New Roman" w:eastAsia="Times New Roman" w:hAnsi="Times New Roman" w:cs="Times New Roman"/>
        </w:rPr>
        <w:t>10</w:t>
      </w:r>
      <w:r>
        <w:rPr>
          <w:rFonts w:ascii="SimSun" w:eastAsia="SimSun" w:hAnsi="SimSun" w:cs="SimSun"/>
        </w:rPr>
        <w:t>且核心课程成绩平均分低于</w:t>
      </w:r>
      <w:r>
        <w:rPr>
          <w:rFonts w:ascii="Times New Roman" w:eastAsia="Times New Roman" w:hAnsi="Times New Roman" w:cs="Times New Roman"/>
        </w:rPr>
        <w:t>80</w:t>
      </w:r>
      <w:r>
        <w:rPr>
          <w:rFonts w:ascii="SimSun" w:eastAsia="SimSun" w:hAnsi="SimSun" w:cs="SimSun"/>
        </w:rPr>
        <w:t>分的学生给与黄牌，本科五年阶段累计三次黄牌者，不能进入三年研究生培养阶段。）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中医学（卓越中医师班）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学校在教育部、国家中医药管理局关于批准卓越医生（中医）教育培养计划改革试点高校的通知（教高函</w:t>
      </w:r>
      <w:r>
        <w:rPr>
          <w:rFonts w:ascii="Times New Roman" w:eastAsia="Times New Roman" w:hAnsi="Times New Roman" w:cs="Times New Roman"/>
        </w:rPr>
        <w:t>[2015]3</w:t>
      </w:r>
      <w:r>
        <w:rPr>
          <w:rFonts w:ascii="SimSun" w:eastAsia="SimSun" w:hAnsi="SimSun" w:cs="SimSun"/>
        </w:rPr>
        <w:t>号）政策支持下开设卓越中医师班。卓越中医师班以贵州中医药大学（原贵阳中医学院）创始人之一，著名伤寒大家袁家玑教授的名字命名。以提高学生中医临床胜任力的目标，以实践早临床、多临床、反复临床为抓手，从培养方案、课程体系、实践体系及特色课程等，实现从</w:t>
      </w:r>
      <w:r>
        <w:rPr>
          <w:rFonts w:ascii="Times New Roman" w:eastAsia="Times New Roman" w:hAnsi="Times New Roman" w:cs="Times New Roman"/>
        </w:rPr>
        <w:t>“</w:t>
      </w:r>
      <w:r>
        <w:rPr>
          <w:rFonts w:ascii="SimSun" w:eastAsia="SimSun" w:hAnsi="SimSun" w:cs="SimSun"/>
        </w:rPr>
        <w:t>课堂到临床</w:t>
      </w:r>
      <w:r>
        <w:rPr>
          <w:rFonts w:ascii="Times New Roman" w:eastAsia="Times New Roman" w:hAnsi="Times New Roman" w:cs="Times New Roman"/>
        </w:rPr>
        <w:t>”</w:t>
      </w:r>
      <w:r>
        <w:rPr>
          <w:rFonts w:ascii="SimSun" w:eastAsia="SimSun" w:hAnsi="SimSun" w:cs="SimSun"/>
        </w:rPr>
        <w:t>全方位教育模式改革，计划招生</w:t>
      </w:r>
      <w:r>
        <w:rPr>
          <w:rFonts w:ascii="Times New Roman" w:eastAsia="Times New Roman" w:hAnsi="Times New Roman" w:cs="Times New Roman"/>
        </w:rPr>
        <w:t>60</w:t>
      </w:r>
      <w:r>
        <w:rPr>
          <w:rFonts w:ascii="SimSun" w:eastAsia="SimSun" w:hAnsi="SimSun" w:cs="SimSun"/>
        </w:rPr>
        <w:t>名。该班新生录取后，实行多维度导师制，尤其是设立中医师承导师，强化中医经典学习，重视培养中医思维，在国内外扩宽交流学习，加强临床技能培训，实施多元化考核，实行淘汰制（根据学生学习成绩，对每学年班级成绩排名最后</w:t>
      </w:r>
      <w:r>
        <w:rPr>
          <w:rFonts w:ascii="Times New Roman" w:eastAsia="Times New Roman" w:hAnsi="Times New Roman" w:cs="Times New Roman"/>
        </w:rPr>
        <w:t>10</w:t>
      </w:r>
      <w:r>
        <w:rPr>
          <w:rFonts w:ascii="SimSun" w:eastAsia="SimSun" w:hAnsi="SimSun" w:cs="SimSun"/>
        </w:rPr>
        <w:t>名且核心课程成绩平均分低于</w:t>
      </w:r>
      <w:r>
        <w:rPr>
          <w:rFonts w:ascii="Times New Roman" w:eastAsia="Times New Roman" w:hAnsi="Times New Roman" w:cs="Times New Roman"/>
        </w:rPr>
        <w:t>70</w:t>
      </w:r>
      <w:r>
        <w:rPr>
          <w:rFonts w:ascii="SimSun" w:eastAsia="SimSun" w:hAnsi="SimSun" w:cs="SimSun"/>
        </w:rPr>
        <w:t>分的学生进行淘汰，淘汰学生转入中医学其他班级学习。）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录取考生身体健康状况要求，按照教育部、卫生部、中国残疾人联合会制定的《普通高等学校招生体检工作指导意见》执行。医药类专业不招收色盲、色弱考生。鉴于医药类、护理类专业培养和就业特点，建议残疾考生、肝功能异常者慎报医药类专业。建议报考护理类专业的考生男生身高</w:t>
      </w:r>
      <w:r>
        <w:rPr>
          <w:rFonts w:ascii="Times New Roman" w:eastAsia="Times New Roman" w:hAnsi="Times New Roman" w:cs="Times New Roman"/>
        </w:rPr>
        <w:t>1.68</w:t>
      </w:r>
      <w:r>
        <w:rPr>
          <w:rFonts w:ascii="SimSun" w:eastAsia="SimSun" w:hAnsi="SimSun" w:cs="SimSun"/>
        </w:rPr>
        <w:t>米以上、女生身高</w:t>
      </w:r>
      <w:r>
        <w:rPr>
          <w:rFonts w:ascii="Times New Roman" w:eastAsia="Times New Roman" w:hAnsi="Times New Roman" w:cs="Times New Roman"/>
        </w:rPr>
        <w:t>1.58</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学生入学后，若发现所提供的高考录取材料有弄虚作假者，经查实将取消其入学资格。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校期间依法享有申请国家助学贷款、奖学金、助学金以及校内评优评奖等的权利；有参加或组织社会服务、勤工助学、学生团体及课外科技文化、体育等活动的权利。学生在校期间对学校处分或处理决定有异议时，有按照相关规定向学校学生申诉处理委员会或上级教育行政部门提出申诉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严格按照省价格主管部门批准的学费、宿费等收费项目及标准执行。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学生在规定年限内，修完教学计划规定的内容，达到毕业要求，发给国家承认学历并经教育部学籍、学历电子注册的贵州中医药大学毕业证书，同时以此具印；符合学位授予条件的授予学士学位证书。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以上未尽事宜以当年国家有关规定为准。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甲秀校区地址：贵阳市市东路</w:t>
      </w:r>
      <w:r>
        <w:rPr>
          <w:rFonts w:ascii="Times New Roman" w:eastAsia="Times New Roman" w:hAnsi="Times New Roman" w:cs="Times New Roman"/>
        </w:rPr>
        <w:t>50</w:t>
      </w:r>
      <w:r>
        <w:rPr>
          <w:rFonts w:ascii="SimSun" w:eastAsia="SimSun" w:hAnsi="SimSun" w:cs="SimSun"/>
        </w:rPr>
        <w:t>号（邮编：</w:t>
      </w:r>
      <w:r>
        <w:rPr>
          <w:rFonts w:ascii="Times New Roman" w:eastAsia="Times New Roman" w:hAnsi="Times New Roman" w:cs="Times New Roman"/>
        </w:rPr>
        <w:t>550005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花溪校区地址：贵州省贵安新区大学城栋青南路（邮编：</w:t>
      </w:r>
      <w:r>
        <w:rPr>
          <w:rFonts w:ascii="Times New Roman" w:eastAsia="Times New Roman" w:hAnsi="Times New Roman" w:cs="Times New Roman"/>
        </w:rPr>
        <w:t>550025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0851—88308474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传真：</w:t>
      </w:r>
      <w:r>
        <w:rPr>
          <w:rFonts w:ascii="Times New Roman" w:eastAsia="Times New Roman" w:hAnsi="Times New Roman" w:cs="Times New Roman"/>
        </w:rPr>
        <w:t xml:space="preserve">0851—88308474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监督电话：</w:t>
      </w:r>
      <w:r>
        <w:rPr>
          <w:rFonts w:ascii="Times New Roman" w:eastAsia="Times New Roman" w:hAnsi="Times New Roman" w:cs="Times New Roman"/>
        </w:rPr>
        <w:t xml:space="preserve">0851-88308471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http://zs.gzy.edu.cn/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gzy_zs@sina.com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03.html" TargetMode="External" /><Relationship Id="rId5" Type="http://schemas.openxmlformats.org/officeDocument/2006/relationships/hyperlink" Target="http://www.gk114.com/a/gxzs/zszc/guizhou/2020/0628/1710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