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贵州医科大学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号）及招生考试工作其他相关文件，为规范招生行为，维护考生的合法权益，确保学校招生工作顺利进行，特制定本章程。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本章程适用于贵州医科大学</w:t>
      </w:r>
      <w:r>
        <w:rPr>
          <w:rFonts w:ascii="Times New Roman" w:eastAsia="Times New Roman" w:hAnsi="Times New Roman" w:cs="Times New Roman"/>
        </w:rPr>
        <w:t>2019</w:t>
      </w:r>
      <w:r>
        <w:rPr>
          <w:rFonts w:ascii="SimSun" w:eastAsia="SimSun" w:hAnsi="SimSun" w:cs="SimSun"/>
        </w:rPr>
        <w:t>年普通本科招生工作。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院校名称：贵州医科大学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院校国标代码：</w:t>
      </w:r>
      <w:r>
        <w:rPr>
          <w:rFonts w:ascii="Times New Roman" w:eastAsia="Times New Roman" w:hAnsi="Times New Roman" w:cs="Times New Roman"/>
        </w:rPr>
        <w:t xml:space="preserve">4152010660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学校地址：贵州省贵阳市北京路</w:t>
      </w:r>
      <w:r>
        <w:rPr>
          <w:rFonts w:ascii="Times New Roman" w:eastAsia="Times New Roman" w:hAnsi="Times New Roman" w:cs="Times New Roman"/>
        </w:rPr>
        <w:t>9</w:t>
      </w:r>
      <w:r>
        <w:rPr>
          <w:rFonts w:ascii="SimSun" w:eastAsia="SimSun" w:hAnsi="SimSun" w:cs="SimSun"/>
        </w:rPr>
        <w:t>号（北校区）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550004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贵州省贵安新区花溪大学城（南校区）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550025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办学层次：研究生教育、本科教育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学校主管单位：贵州省教育厅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贵州医科大学成立招生考试工作领导小组。招生考试工作领导小组贯彻落实教育部、省招生委员会招生工作的有关政策，执行学校党委和行政有关招生工作的决议，全面负责学校普通本科招生录取工作。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招生就业处为学校招生常设机构，其主要职责是按照教育部和上级主管部门规定，具体负责学校本科招生日常工作。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录取期间成立信访组，安排专人负责考生的信访、申诉、投诉处理工作。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招生计划及录取原则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经教育部审核批准，学校面向全国计划招生，招生计划均以各生源省招生考试机构公布的为准。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录取批次：体育批次、一本（贵州省）、专项、定向、二本、预科等批次录取。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学校根据各省（自治区、直辖市）生源情况确定提档比例，提档比例一般在招生计划的</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我校严格执行国家规定的加分、降分政策，认可各省（区）市加、降分形成的投档成绩，并作为录取和安排专业的成绩依据。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进档考生采用专业志愿</w:t>
      </w:r>
      <w:r>
        <w:rPr>
          <w:rFonts w:ascii="Times New Roman" w:eastAsia="Times New Roman" w:hAnsi="Times New Roman" w:cs="Times New Roman"/>
        </w:rPr>
        <w:t>“</w:t>
      </w:r>
      <w:r>
        <w:rPr>
          <w:rFonts w:ascii="SimSun" w:eastAsia="SimSun" w:hAnsi="SimSun" w:cs="SimSun"/>
        </w:rPr>
        <w:t>分数级差</w:t>
      </w:r>
      <w:r>
        <w:rPr>
          <w:rFonts w:ascii="Times New Roman" w:eastAsia="Times New Roman" w:hAnsi="Times New Roman" w:cs="Times New Roman"/>
        </w:rPr>
        <w:t>”</w:t>
      </w:r>
      <w:r>
        <w:rPr>
          <w:rFonts w:ascii="SimSun" w:eastAsia="SimSun" w:hAnsi="SimSun" w:cs="SimSun"/>
        </w:rPr>
        <w:t>的方式进行专业录取。专业志愿间分数级差总分值为</w:t>
      </w:r>
      <w:r>
        <w:rPr>
          <w:rFonts w:ascii="Times New Roman" w:eastAsia="Times New Roman" w:hAnsi="Times New Roman" w:cs="Times New Roman"/>
        </w:rPr>
        <w:t xml:space="preserve"> 5 </w:t>
      </w:r>
      <w:r>
        <w:rPr>
          <w:rFonts w:ascii="SimSun" w:eastAsia="SimSun" w:hAnsi="SimSun" w:cs="SimSun"/>
        </w:rPr>
        <w:t>分，即第一和第二专业志愿分数级差为</w:t>
      </w:r>
      <w:r>
        <w:rPr>
          <w:rFonts w:ascii="Times New Roman" w:eastAsia="Times New Roman" w:hAnsi="Times New Roman" w:cs="Times New Roman"/>
        </w:rPr>
        <w:t xml:space="preserve"> 2 </w:t>
      </w:r>
      <w:r>
        <w:rPr>
          <w:rFonts w:ascii="SimSun" w:eastAsia="SimSun" w:hAnsi="SimSun" w:cs="SimSun"/>
        </w:rPr>
        <w:t>分，第二和第三专业志愿分数级差为</w:t>
      </w:r>
      <w:r>
        <w:rPr>
          <w:rFonts w:ascii="Times New Roman" w:eastAsia="Times New Roman" w:hAnsi="Times New Roman" w:cs="Times New Roman"/>
        </w:rPr>
        <w:t xml:space="preserve"> 1 </w:t>
      </w:r>
      <w:r>
        <w:rPr>
          <w:rFonts w:ascii="SimSun" w:eastAsia="SimSun" w:hAnsi="SimSun" w:cs="SimSun"/>
        </w:rPr>
        <w:t>分，第三和第四（含第四及其之后的所有排序志愿）专业志愿的分数级差为</w:t>
      </w:r>
      <w:r>
        <w:rPr>
          <w:rFonts w:ascii="Times New Roman" w:eastAsia="Times New Roman" w:hAnsi="Times New Roman" w:cs="Times New Roman"/>
        </w:rPr>
        <w:t xml:space="preserve"> 1 </w:t>
      </w:r>
      <w:r>
        <w:rPr>
          <w:rFonts w:ascii="SimSun" w:eastAsia="SimSun" w:hAnsi="SimSun" w:cs="SimSun"/>
        </w:rPr>
        <w:t>分，第四（含第四及其之后的所有排序志愿）与调剂专业志愿分数级差为</w:t>
      </w:r>
      <w:r>
        <w:rPr>
          <w:rFonts w:ascii="Times New Roman" w:eastAsia="Times New Roman" w:hAnsi="Times New Roman" w:cs="Times New Roman"/>
        </w:rPr>
        <w:t xml:space="preserve"> 1 </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临床医学专业创新班（协和班）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学校在中国医学科学院</w:t>
      </w:r>
      <w:r>
        <w:rPr>
          <w:rFonts w:ascii="Times New Roman" w:eastAsia="Times New Roman" w:hAnsi="Times New Roman" w:cs="Times New Roman"/>
        </w:rPr>
        <w:t xml:space="preserve"> </w:t>
      </w:r>
      <w:r>
        <w:rPr>
          <w:rFonts w:ascii="SimSun" w:eastAsia="SimSun" w:hAnsi="SimSun" w:cs="SimSun"/>
        </w:rPr>
        <w:t>北京协和医学院对口支援下开设临床医学专业创新班（简称</w:t>
      </w:r>
      <w:r>
        <w:rPr>
          <w:rFonts w:ascii="Times New Roman" w:eastAsia="Times New Roman" w:hAnsi="Times New Roman" w:cs="Times New Roman"/>
        </w:rPr>
        <w:t>“</w:t>
      </w:r>
      <w:r>
        <w:rPr>
          <w:rFonts w:ascii="SimSun" w:eastAsia="SimSun" w:hAnsi="SimSun" w:cs="SimSun"/>
        </w:rPr>
        <w:t>协和班</w:t>
      </w:r>
      <w:r>
        <w:rPr>
          <w:rFonts w:ascii="Times New Roman" w:eastAsia="Times New Roman" w:hAnsi="Times New Roman" w:cs="Times New Roman"/>
        </w:rPr>
        <w:t>”</w:t>
      </w:r>
      <w:r>
        <w:rPr>
          <w:rFonts w:ascii="SimSun" w:eastAsia="SimSun" w:hAnsi="SimSun" w:cs="SimSun"/>
        </w:rPr>
        <w:t>），旨在培养能够胜任临床医疗、医学研究、医疗管理等相关工作的卓越人才，仅招收贵州省考生，计划招生</w:t>
      </w:r>
      <w:r>
        <w:rPr>
          <w:rFonts w:ascii="Times New Roman" w:eastAsia="Times New Roman" w:hAnsi="Times New Roman" w:cs="Times New Roman"/>
        </w:rPr>
        <w:t>32</w:t>
      </w:r>
      <w:r>
        <w:rPr>
          <w:rFonts w:ascii="SimSun" w:eastAsia="SimSun" w:hAnsi="SimSun" w:cs="SimSun"/>
        </w:rPr>
        <w:t>名。该班新生录取进校后，实行全程导师制，重视教学方法改革，在国（境）内外拓宽交流学习，重视综合素质培养，强化英语学习，加强临床技能培训，打通深造通道，实施多元化考核，实行</w:t>
      </w:r>
      <w:r>
        <w:rPr>
          <w:rFonts w:ascii="Times New Roman" w:eastAsia="Times New Roman" w:hAnsi="Times New Roman" w:cs="Times New Roman"/>
        </w:rPr>
        <w:t>“</w:t>
      </w:r>
      <w:r>
        <w:rPr>
          <w:rFonts w:ascii="SimSun" w:eastAsia="SimSun" w:hAnsi="SimSun" w:cs="SimSun"/>
        </w:rPr>
        <w:t>淘汰制</w:t>
      </w:r>
      <w:r>
        <w:rPr>
          <w:rFonts w:ascii="Times New Roman" w:eastAsia="Times New Roman" w:hAnsi="Times New Roman" w:cs="Times New Roman"/>
        </w:rPr>
        <w:t>”</w:t>
      </w:r>
      <w:r>
        <w:rPr>
          <w:rFonts w:ascii="SimSun" w:eastAsia="SimSun" w:hAnsi="SimSun" w:cs="SimSun"/>
        </w:rPr>
        <w:t>（根据学生的学习成绩，对每学年班级成绩排名后</w:t>
      </w:r>
      <w:r>
        <w:rPr>
          <w:rFonts w:ascii="Times New Roman" w:eastAsia="Times New Roman" w:hAnsi="Times New Roman" w:cs="Times New Roman"/>
        </w:rPr>
        <w:t>10%</w:t>
      </w:r>
      <w:r>
        <w:rPr>
          <w:rFonts w:ascii="SimSun" w:eastAsia="SimSun" w:hAnsi="SimSun" w:cs="SimSun"/>
        </w:rPr>
        <w:t>且平均学分绩点低于</w:t>
      </w:r>
      <w:r>
        <w:rPr>
          <w:rFonts w:ascii="Times New Roman" w:eastAsia="Times New Roman" w:hAnsi="Times New Roman" w:cs="Times New Roman"/>
        </w:rPr>
        <w:t>2.5</w:t>
      </w:r>
      <w:r>
        <w:rPr>
          <w:rFonts w:ascii="SimSun" w:eastAsia="SimSun" w:hAnsi="SimSun" w:cs="SimSun"/>
        </w:rPr>
        <w:t>的学生进行淘汰，淘汰学生转入临床医学其他班级学习，缺额从临床医学其他班级择优补充）。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特殊类别专业招生录取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体育类专业招生。体育类专业须参加生源省统一组织的体育术科考试，专业成绩合格，文化成绩上线，按照考生投档成绩采取</w:t>
      </w:r>
      <w:r>
        <w:rPr>
          <w:rFonts w:ascii="Times New Roman" w:eastAsia="Times New Roman" w:hAnsi="Times New Roman" w:cs="Times New Roman"/>
        </w:rPr>
        <w:t>“</w:t>
      </w:r>
      <w:r>
        <w:rPr>
          <w:rFonts w:ascii="SimSun" w:eastAsia="SimSun" w:hAnsi="SimSun" w:cs="SimSun"/>
        </w:rPr>
        <w:t>分数级差</w:t>
      </w:r>
      <w:r>
        <w:rPr>
          <w:rFonts w:ascii="Times New Roman" w:eastAsia="Times New Roman" w:hAnsi="Times New Roman" w:cs="Times New Roman"/>
        </w:rPr>
        <w:t>”</w:t>
      </w:r>
      <w:r>
        <w:rPr>
          <w:rFonts w:ascii="SimSun" w:eastAsia="SimSun" w:hAnsi="SimSun" w:cs="SimSun"/>
        </w:rPr>
        <w:t>的方式录取（参考第十七条），若生源省有特殊要求的，按照生源省的录取原则录取。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语种要求：本校公共外语课及相关专业课不具备非英语语种开设条件，请非英语语种的考生谨慎填报。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体检要求：对于考生身体健康状况的要求，我校严格执行教育部、卫生部、中国残联联合颁布的《普通高等学校招生体检工作指导意见》及有关补充规定。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法医学专业由于毕业生的就业方向多在公检法系统，身体条件参考公务员体检要求，建议报考该专业的考生身高在</w:t>
      </w:r>
      <w:r>
        <w:rPr>
          <w:rFonts w:ascii="Times New Roman" w:eastAsia="Times New Roman" w:hAnsi="Times New Roman" w:cs="Times New Roman"/>
        </w:rPr>
        <w:t>165</w:t>
      </w:r>
      <w:r>
        <w:rPr>
          <w:rFonts w:ascii="SimSun" w:eastAsia="SimSun" w:hAnsi="SimSun" w:cs="SimSun"/>
        </w:rPr>
        <w:t>公分（男）或</w:t>
      </w:r>
      <w:r>
        <w:rPr>
          <w:rFonts w:ascii="Times New Roman" w:eastAsia="Times New Roman" w:hAnsi="Times New Roman" w:cs="Times New Roman"/>
        </w:rPr>
        <w:t>158</w:t>
      </w:r>
      <w:r>
        <w:rPr>
          <w:rFonts w:ascii="SimSun" w:eastAsia="SimSun" w:hAnsi="SimSun" w:cs="SimSun"/>
        </w:rPr>
        <w:t>公分（女）以上、裸视视力在</w:t>
      </w:r>
      <w:r>
        <w:rPr>
          <w:rFonts w:ascii="Times New Roman" w:eastAsia="Times New Roman" w:hAnsi="Times New Roman" w:cs="Times New Roman"/>
        </w:rPr>
        <w:t>4.6</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社会体育指导与管理专业由于培养方向为户外运动方向和救援救护方向，学生需常年从事与户外运动和救援救护相关的各种教学、实践实训活动。因此，基于该专业的特殊性和为了保障学生安全，患有以下疾病者：肢体残疾（不继续恶化）；裸眼视力（矫正后）任何一眼低于</w:t>
      </w:r>
      <w:r>
        <w:rPr>
          <w:rFonts w:ascii="Times New Roman" w:eastAsia="Times New Roman" w:hAnsi="Times New Roman" w:cs="Times New Roman"/>
        </w:rPr>
        <w:t>4.8</w:t>
      </w:r>
      <w:r>
        <w:rPr>
          <w:rFonts w:ascii="SimSun" w:eastAsia="SimSun" w:hAnsi="SimSun" w:cs="SimSun"/>
        </w:rPr>
        <w:t>者；轻度色觉异常（俗称色弱）、色觉异常</w:t>
      </w:r>
      <w:r>
        <w:rPr>
          <w:rFonts w:ascii="Times New Roman" w:eastAsia="Times New Roman" w:hAnsi="Times New Roman" w:cs="Times New Roman"/>
        </w:rPr>
        <w:t>II</w:t>
      </w:r>
      <w:r>
        <w:rPr>
          <w:rFonts w:ascii="SimSun" w:eastAsia="SimSun" w:hAnsi="SimSun" w:cs="SimSun"/>
        </w:rPr>
        <w:t>度（俗称色盲）或不能准确识别红、黄、绿、蓝、紫各种颜色中任何一种颜色的导线、按键、信号灯、几何图形者；两耳听力均在</w:t>
      </w:r>
      <w:r>
        <w:rPr>
          <w:rFonts w:ascii="Times New Roman" w:eastAsia="Times New Roman" w:hAnsi="Times New Roman" w:cs="Times New Roman"/>
        </w:rPr>
        <w:t>3</w:t>
      </w:r>
      <w:r>
        <w:rPr>
          <w:rFonts w:ascii="SimSun" w:eastAsia="SimSun" w:hAnsi="SimSun" w:cs="SimSun"/>
        </w:rPr>
        <w:t>米以内，或一耳听力在</w:t>
      </w:r>
      <w:r>
        <w:rPr>
          <w:rFonts w:ascii="Times New Roman" w:eastAsia="Times New Roman" w:hAnsi="Times New Roman" w:cs="Times New Roman"/>
        </w:rPr>
        <w:t>5</w:t>
      </w:r>
      <w:r>
        <w:rPr>
          <w:rFonts w:ascii="SimSun" w:eastAsia="SimSun" w:hAnsi="SimSun" w:cs="SimSun"/>
        </w:rPr>
        <w:t>米另一耳全聋者不能报考该专业。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收费标准与资助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收费标准：严格按照省物价主管部门批准的学费、住宿费等收费项目及标准执行。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我校社会体育指导与管理专业由于培养方向为户外运动方向和救援救护方向，所需专业露营野炊装备（帐篷、背包、睡袋、防潮垫、炉具、炊具等）、专业服装、攀岩鞋、头盔和安全带等需自行购买。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学校有多种奖学金奖励品学兼优的学生。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为帮助家庭经济困难学生无障碍入学，一方面学校对贵州省农村建档立卡贫困学生全面开通</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；另一方面学校与国家开发银行贵州省分行合作开通</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，协助申请国家助学贷款的学生办理贷款相关手续。注：开通生源地贷款地区的学生必须在当地办理贷款。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学历（学位）证书的颁发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生在规定的年限内完成教学计划规定的全部课程，考试合格，准予毕业，颁发给国家承认学历、经教育部学历电子注册的贵州医科大学毕业证书，并以此具印。对达到学位授予条件的，授予相应学位类别的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新生入学三个月内，学校按照国家招生规定对其进行全面复查。复查合格者予以注册学籍，复查不合格者，由学校根据相关规定予以处理，直至取消入学资格。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通讯地址：贵州省贵阳市北京路</w:t>
      </w:r>
      <w:r>
        <w:rPr>
          <w:rFonts w:ascii="Times New Roman" w:eastAsia="Times New Roman" w:hAnsi="Times New Roman" w:cs="Times New Roman"/>
        </w:rPr>
        <w:t>9</w:t>
      </w:r>
      <w:r>
        <w:rPr>
          <w:rFonts w:ascii="SimSun" w:eastAsia="SimSun" w:hAnsi="SimSun" w:cs="SimSun"/>
        </w:rPr>
        <w:t>号贵州医科大学招生就业处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http://www.gmc.edu.cn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0851- 86908448</w:t>
      </w:r>
      <w:r>
        <w:rPr>
          <w:rFonts w:ascii="SimSun" w:eastAsia="SimSun" w:hAnsi="SimSun" w:cs="SimSun"/>
        </w:rPr>
        <w:t>（含传真）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550004</w:t>
      </w:r>
      <w:r>
        <w:rPr>
          <w:rFonts w:ascii="SimSun" w:eastAsia="SimSun" w:hAnsi="SimSun" w:cs="SimSun"/>
        </w:rPr>
        <w:t>　　</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gmczkb@gmc.edu.cn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贵州中医药大学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贵州护理职业技术学院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1.html" TargetMode="External" /><Relationship Id="rId13" Type="http://schemas.openxmlformats.org/officeDocument/2006/relationships/hyperlink" Target="http://www.gk114.com/a/gxzs/zszc/guizhou/2020/0628/17150.html" TargetMode="External" /><Relationship Id="rId14" Type="http://schemas.openxmlformats.org/officeDocument/2006/relationships/hyperlink" Target="http://www.gk114.com/a/gxzs/zszc/guizhou/2020/0628/17149.html" TargetMode="External" /><Relationship Id="rId15" Type="http://schemas.openxmlformats.org/officeDocument/2006/relationships/hyperlink" Target="http://www.gk114.com/a/gxzs/zszc/guizhou/2020/0628/17147.html" TargetMode="External" /><Relationship Id="rId16" Type="http://schemas.openxmlformats.org/officeDocument/2006/relationships/hyperlink" Target="http://www.gk114.com/a/gxzs/zszc/guizhou/2020/0628/1714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808.html" TargetMode="External" /><Relationship Id="rId5" Type="http://schemas.openxmlformats.org/officeDocument/2006/relationships/hyperlink" Target="http://www.gk114.com/a/gxzs/zszc/guizhou/2020/0628/17088.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