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贵州医科大学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年普通本科招生章程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        </w:t>
      </w: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根据《中华人民共和国教育法》、《中华人民共和国高等教育法》、《国务院关于深化考试招生制度改革的实施意见》（国发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2014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35</w:t>
      </w:r>
      <w:r>
        <w:rPr>
          <w:rFonts w:ascii="SimSun" w:eastAsia="SimSun" w:hAnsi="SimSun" w:cs="SimSun"/>
        </w:rPr>
        <w:t>号）及招生考试工作其他相关文件，为规范招生行为，维护考生的合法权益，确保学校招生工作顺利进行，特制定本章程。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本章程适用于贵州医科大学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年普通本科招生工作。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              </w:t>
      </w: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院校名称：贵州医科大学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院校国标代码：</w:t>
      </w:r>
      <w:r>
        <w:rPr>
          <w:rFonts w:ascii="Times New Roman" w:eastAsia="Times New Roman" w:hAnsi="Times New Roman" w:cs="Times New Roman"/>
        </w:rPr>
        <w:t xml:space="preserve">4152010660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学校地址：贵州省贵阳市北京路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号（北校区）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550004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贵州省贵安新区花溪大学城（南校区）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550025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办学层次：研究生教育、本科教育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办学性质：公办院校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学习形式：普通全日制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学校主管单位：贵州省教育厅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          </w:t>
      </w: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组织机构及其职责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贵州医科大学成立本科招生委员会。招生委员会贯彻落实教育部、省招生委员会招生工作的有关政策，执行学校党委和行政有关招生工作的决议，全面负责学校普通本科招生录取工作。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招生就业处为学校招生常设机构，其主要职责是按照教育部和上级主管部门规定，具体负责学校本科招生日常工作。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录取期间成立信访组，安排专人负责考生的信访、申诉、投诉处理工作。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        </w:t>
      </w: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招生计划及录取原则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经教育部审核批准，学校面向全国计划招生，招生计划均以各生源省招生考试机构公布的为准。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录取批次：体育批次、一本（贵州省）、专项、定向、二本、预科等批次录取。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学校根据各省（直辖市、自治区）生源情况确定提档比例，提档比例一般为招生计划的</w:t>
      </w:r>
      <w:r>
        <w:rPr>
          <w:rFonts w:ascii="Times New Roman" w:eastAsia="Times New Roman" w:hAnsi="Times New Roman" w:cs="Times New Roman"/>
        </w:rPr>
        <w:t>100%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学校承认各省（直辖市、自治区）根据教育部相关规定给予考生的政策性加分；同一考生符合多项政策加分条件的，只采用最高一项加分，原则上加分不得超过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学校按照考生投档成绩和专业志愿采用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录取原则进行录取（优先满足高分考生的专业志愿，若高分考生第一专业志愿不能录取，按其第二、第三</w:t>
      </w:r>
      <w:r>
        <w:rPr>
          <w:rFonts w:ascii="Times New Roman" w:eastAsia="Times New Roman" w:hAnsi="Times New Roman" w:cs="Times New Roman"/>
        </w:rPr>
        <w:t>……</w:t>
      </w:r>
      <w:r>
        <w:rPr>
          <w:rFonts w:ascii="SimSun" w:eastAsia="SimSun" w:hAnsi="SimSun" w:cs="SimSun"/>
        </w:rPr>
        <w:t>等专业志愿顺序依次择优录取。当考生填报的专业志愿均未被录取时，对服从专业调剂的考生，调剂到其未填报且学校未录满专业录取；对不服从专业调剂的考生，学校将予以退档），分数相同的按各省（直辖市、自治区）确定的同分排序规则进行排序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高考综合改革试点省（直辖市、自治区），学校按照其高考改革方案相关规定，同时参照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临床医学专业创新班（协和班）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学校在中国医学科学院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北京协和医学院对口支援下开设临床医学专业创新班（简称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协和班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），旨在培养能够胜任临床医疗、医学研究、医疗管理等相关工作的卓越人才，仅招收贵州省考生，计划招生</w:t>
      </w:r>
      <w:r>
        <w:rPr>
          <w:rFonts w:ascii="Times New Roman" w:eastAsia="Times New Roman" w:hAnsi="Times New Roman" w:cs="Times New Roman"/>
        </w:rPr>
        <w:t>32</w:t>
      </w:r>
      <w:r>
        <w:rPr>
          <w:rFonts w:ascii="SimSun" w:eastAsia="SimSun" w:hAnsi="SimSun" w:cs="SimSun"/>
        </w:rPr>
        <w:t>名。该班新生录取进校后，实行导师制，重视教学方法改革，在国（境）内外拓宽交流学习，重视综合素质培养，强化英语学习，加强临床技能培训，打通深造通道（毕业前，班级成绩排名前</w:t>
      </w:r>
      <w:r>
        <w:rPr>
          <w:rFonts w:ascii="Times New Roman" w:eastAsia="Times New Roman" w:hAnsi="Times New Roman" w:cs="Times New Roman"/>
        </w:rPr>
        <w:t>90%</w:t>
      </w:r>
      <w:r>
        <w:rPr>
          <w:rFonts w:ascii="SimSun" w:eastAsia="SimSun" w:hAnsi="SimSun" w:cs="SimSun"/>
        </w:rPr>
        <w:t>，达到推免条件，将免试推荐攻读硕士研究生，其中</w:t>
      </w:r>
      <w:r>
        <w:rPr>
          <w:rFonts w:ascii="Times New Roman" w:eastAsia="Times New Roman" w:hAnsi="Times New Roman" w:cs="Times New Roman"/>
        </w:rPr>
        <w:t>15%</w:t>
      </w:r>
      <w:r>
        <w:rPr>
          <w:rFonts w:ascii="SimSun" w:eastAsia="SimSun" w:hAnsi="SimSun" w:cs="SimSun"/>
        </w:rPr>
        <w:t>推荐进入北京协和医学院，实现</w:t>
      </w:r>
      <w:r>
        <w:rPr>
          <w:rFonts w:ascii="Times New Roman" w:eastAsia="Times New Roman" w:hAnsi="Times New Roman" w:cs="Times New Roman"/>
        </w:rPr>
        <w:t>“5+3”</w:t>
      </w:r>
      <w:r>
        <w:rPr>
          <w:rFonts w:ascii="SimSun" w:eastAsia="SimSun" w:hAnsi="SimSun" w:cs="SimSun"/>
        </w:rPr>
        <w:t>一体化培养），实施多元化考核，实行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淘汰制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（根据学生的学习成绩，对每学年班级成绩排名后</w:t>
      </w:r>
      <w:r>
        <w:rPr>
          <w:rFonts w:ascii="Times New Roman" w:eastAsia="Times New Roman" w:hAnsi="Times New Roman" w:cs="Times New Roman"/>
        </w:rPr>
        <w:t>10%</w:t>
      </w:r>
      <w:r>
        <w:rPr>
          <w:rFonts w:ascii="SimSun" w:eastAsia="SimSun" w:hAnsi="SimSun" w:cs="SimSun"/>
        </w:rPr>
        <w:t>且平均学分绩点低于</w:t>
      </w:r>
      <w:r>
        <w:rPr>
          <w:rFonts w:ascii="Times New Roman" w:eastAsia="Times New Roman" w:hAnsi="Times New Roman" w:cs="Times New Roman"/>
        </w:rPr>
        <w:t>2.5</w:t>
      </w:r>
      <w:r>
        <w:rPr>
          <w:rFonts w:ascii="SimSun" w:eastAsia="SimSun" w:hAnsi="SimSun" w:cs="SimSun"/>
        </w:rPr>
        <w:t>的学生进行淘汰，淘汰学生转入临床医学其他班级学习，缺额从临床医学其他班级择优补充）。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英语、翻译专业要求外语语种为：英语，且考生英语单科成绩不低于英语单科满分的</w:t>
      </w:r>
      <w:r>
        <w:rPr>
          <w:rFonts w:ascii="Times New Roman" w:eastAsia="Times New Roman" w:hAnsi="Times New Roman" w:cs="Times New Roman"/>
        </w:rPr>
        <w:t>60%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特殊类别专业招生录取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体育类专业招生。体育类专业须参加生源省统一组织的体育术科考试，专业成绩合格，文化成绩上线，按照考生投档成绩采取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的方式录取，若生源省有特殊要求的，按照生源省的录取原则录取。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语种要求：本校公共外语课及相关专业课不具备非英语语种开设条件，请非英语语种的考生谨慎填报。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体检要求：对于考生身体健康状况的要求，我校严格执行教育部、卫生部、中国残联联合颁布的《普通高等学校招生体检工作指导意见》及有关补充规定。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法医学专业由于毕业生的就业方向多在公检法系统，身体条件参考公务员体检要求，建议报考该专业的考生身高在</w:t>
      </w:r>
      <w:r>
        <w:rPr>
          <w:rFonts w:ascii="Times New Roman" w:eastAsia="Times New Roman" w:hAnsi="Times New Roman" w:cs="Times New Roman"/>
        </w:rPr>
        <w:t>165</w:t>
      </w:r>
      <w:r>
        <w:rPr>
          <w:rFonts w:ascii="SimSun" w:eastAsia="SimSun" w:hAnsi="SimSun" w:cs="SimSun"/>
        </w:rPr>
        <w:t>公分（男）或</w:t>
      </w:r>
      <w:r>
        <w:rPr>
          <w:rFonts w:ascii="Times New Roman" w:eastAsia="Times New Roman" w:hAnsi="Times New Roman" w:cs="Times New Roman"/>
        </w:rPr>
        <w:t>158</w:t>
      </w:r>
      <w:r>
        <w:rPr>
          <w:rFonts w:ascii="SimSun" w:eastAsia="SimSun" w:hAnsi="SimSun" w:cs="SimSun"/>
        </w:rPr>
        <w:t>公分（女）以上、裸视视力在</w:t>
      </w:r>
      <w:r>
        <w:rPr>
          <w:rFonts w:ascii="Times New Roman" w:eastAsia="Times New Roman" w:hAnsi="Times New Roman" w:cs="Times New Roman"/>
        </w:rPr>
        <w:t>4.6</w:t>
      </w:r>
      <w:r>
        <w:rPr>
          <w:rFonts w:ascii="SimSun" w:eastAsia="SimSun" w:hAnsi="SimSun" w:cs="SimSun"/>
        </w:rPr>
        <w:t>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校社会体育指导与管理专业由于培养方向为户外运动方向、救援救护方向和山地旅游与户外教育方向，学生需常年从事与户外运动和救援救护相关的各种教学、实践实训活动。因此，基于该专业的特殊性和为了保障学生安全，患有以下疾病者：轻度色觉异常（俗称色弱）、色觉异常</w:t>
      </w:r>
      <w:r>
        <w:rPr>
          <w:rFonts w:ascii="Times New Roman" w:eastAsia="Times New Roman" w:hAnsi="Times New Roman" w:cs="Times New Roman"/>
        </w:rPr>
        <w:t>II</w:t>
      </w:r>
      <w:r>
        <w:rPr>
          <w:rFonts w:ascii="SimSun" w:eastAsia="SimSun" w:hAnsi="SimSun" w:cs="SimSun"/>
        </w:rPr>
        <w:t>度（俗称色盲）或不能准确识别红、黄、绿、蓝、紫各种颜色中任何一种颜色的导线、按键、信号灯、几何图形者，不能录取该专业。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    </w:t>
      </w: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收费标准与资助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收费标准：严格按照省物价主管部门批准的学费、住宿费等收费项目及标准执行。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校社会体育指导与管理专业由于培养方向为户外运动方向、救援救护方向和山地旅游与户外教育方向，所需专业露营野炊装备（帐篷、背包、睡袋、防潮垫、炉具、炊具等）、专业服装、攀岩鞋、头盔和安全带等需自行购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学校有多种奖学金奖励品学兼优的学生。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为帮助家庭经济困难学生无障碍入学，一方面学校对贵州省农村建档立卡贫困学生全面开通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；另一方面学校与国家开发银行贵州省分行合作开通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绿色通道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，协助申请国家助学贷款的学生办理贷款相关手续。注：开通生源地贷款地区的学生必须在当地办理贷款。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</w:t>
      </w: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学历（学位）证书的颁发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在规定的年限内完成教学计划规定的全部课程，考试合格，准予毕业，颁发给国家承认学历、经教育部学历电子注册的贵州医科大学毕业证书，并以此具印。对达到学位授予条件的，授予相应学位类别的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                           </w:t>
      </w: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新生入学三个月内，学校按照国家招生规定对其进行全面复查。复查合格者予以注册学籍，复查不合格者，由学校根据相关规定予以处理，直至取消入学资格。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学校咨询及联系方式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通讯地址：贵州省贵阳市北京路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号贵州医科大学招生就业处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http://www.gmc.edu.cn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0851- 86908448</w:t>
      </w:r>
      <w:r>
        <w:rPr>
          <w:rFonts w:ascii="SimSun" w:eastAsia="SimSun" w:hAnsi="SimSun" w:cs="SimSun"/>
        </w:rPr>
        <w:t>（含传真）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招生监督电话：</w:t>
      </w:r>
      <w:r>
        <w:rPr>
          <w:rFonts w:ascii="Times New Roman" w:eastAsia="Times New Roman" w:hAnsi="Times New Roman" w:cs="Times New Roman"/>
        </w:rPr>
        <w:t xml:space="preserve">0851-88416211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>550004</w:t>
      </w:r>
      <w:r>
        <w:rPr>
          <w:rFonts w:ascii="SimSun" w:eastAsia="SimSun" w:hAnsi="SimSun" w:cs="SimSun"/>
        </w:rPr>
        <w:t>　　</w:t>
      </w:r>
      <w:r>
        <w:rPr>
          <w:rFonts w:ascii="Times New Roman" w:eastAsia="Times New Roman" w:hAnsi="Times New Roman" w:cs="Times New Roman"/>
        </w:rPr>
        <w:t>Email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gmczkb@gmc.edu.cn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遵义师范学院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茅台学院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黔南民族幼儿师范高等专科学校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6.html" TargetMode="External" /><Relationship Id="rId11" Type="http://schemas.openxmlformats.org/officeDocument/2006/relationships/hyperlink" Target="http://www.gk114.com/a/gxzs/zszc/guizhou/2020/0628/17155.html" TargetMode="External" /><Relationship Id="rId12" Type="http://schemas.openxmlformats.org/officeDocument/2006/relationships/hyperlink" Target="http://www.gk114.com/a/gxzs/zszc/guizhou/2020/0628/17154.html" TargetMode="External" /><Relationship Id="rId13" Type="http://schemas.openxmlformats.org/officeDocument/2006/relationships/hyperlink" Target="http://www.gk114.com/a/gxzs/zszc/guizhou/2020/0628/17153.html" TargetMode="External" /><Relationship Id="rId14" Type="http://schemas.openxmlformats.org/officeDocument/2006/relationships/hyperlink" Target="http://www.gk114.com/a/gxzs/zszc/guizhou/2020/0628/17152.html" TargetMode="External" /><Relationship Id="rId15" Type="http://schemas.openxmlformats.org/officeDocument/2006/relationships/hyperlink" Target="http://www.gk114.com/a/gxzs/zszc/guizhou/2020/0628/17151.html" TargetMode="External" /><Relationship Id="rId16" Type="http://schemas.openxmlformats.org/officeDocument/2006/relationships/hyperlink" Target="http://www.gk114.com/a/gxzs/zszc/guizhou/2020/0628/1715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0/0628/17141.html" TargetMode="External" /><Relationship Id="rId5" Type="http://schemas.openxmlformats.org/officeDocument/2006/relationships/hyperlink" Target="http://www.gk114.com/a/gxzs/zszc/guizhou/2020/0628/17143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8.html" TargetMode="External" /><Relationship Id="rId9" Type="http://schemas.openxmlformats.org/officeDocument/2006/relationships/hyperlink" Target="http://www.gk114.com/a/gxzs/zszc/guizhou/2020/0628/1715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