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根据《中华人民共和国教育法》、《中华人民共和国高等教育法》等有关法律法规</w:t>
      </w:r>
      <w:r>
        <w:rPr>
          <w:rFonts w:ascii="Times New Roman" w:eastAsia="Times New Roman" w:hAnsi="Times New Roman" w:cs="Times New Roman"/>
        </w:rPr>
        <w:t>,</w:t>
      </w:r>
      <w:r>
        <w:rPr>
          <w:rFonts w:ascii="SimSun" w:eastAsia="SimSun" w:hAnsi="SimSun" w:cs="SimSun"/>
        </w:rPr>
        <w:t>以及省招生委员会的相关规定</w:t>
      </w:r>
      <w:r>
        <w:rPr>
          <w:rFonts w:ascii="Times New Roman" w:eastAsia="Times New Roman" w:hAnsi="Times New Roman" w:cs="Times New Roman"/>
        </w:rPr>
        <w:t>,</w:t>
      </w:r>
      <w:r>
        <w:rPr>
          <w:rFonts w:ascii="SimSun" w:eastAsia="SimSun" w:hAnsi="SimSun" w:cs="SimSun"/>
        </w:rPr>
        <w:t>特制定贵州商学院</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2020</w:t>
      </w:r>
      <w:r>
        <w:rPr>
          <w:rFonts w:ascii="SimSun" w:eastAsia="SimSun" w:hAnsi="SimSun" w:cs="SimSun"/>
        </w:rPr>
        <w:t>年普通高等教育的高考招生工作。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学院全称：贵州商学院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学院地址：贵阳市白云区麦架镇二十六大道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学院简介：贵州商学院沿于</w:t>
      </w:r>
      <w:r>
        <w:rPr>
          <w:rFonts w:ascii="Times New Roman" w:eastAsia="Times New Roman" w:hAnsi="Times New Roman" w:cs="Times New Roman"/>
        </w:rPr>
        <w:t>1947</w:t>
      </w:r>
      <w:r>
        <w:rPr>
          <w:rFonts w:ascii="SimSun" w:eastAsia="SimSun" w:hAnsi="SimSun" w:cs="SimSun"/>
        </w:rPr>
        <w:t>年贵阳尚信高级会计职业学校，是贵州商科教育的发祥地。建校</w:t>
      </w:r>
      <w:r>
        <w:rPr>
          <w:rFonts w:ascii="Times New Roman" w:eastAsia="Times New Roman" w:hAnsi="Times New Roman" w:cs="Times New Roman"/>
        </w:rPr>
        <w:t>70</w:t>
      </w:r>
      <w:r>
        <w:rPr>
          <w:rFonts w:ascii="SimSun" w:eastAsia="SimSun" w:hAnsi="SimSun" w:cs="SimSun"/>
        </w:rPr>
        <w:t>余年来，以商而名、因商而建、依商而兴，为贵州商贸流通和现代服务业培养了</w:t>
      </w:r>
      <w:r>
        <w:rPr>
          <w:rFonts w:ascii="Times New Roman" w:eastAsia="Times New Roman" w:hAnsi="Times New Roman" w:cs="Times New Roman"/>
        </w:rPr>
        <w:t>8</w:t>
      </w:r>
      <w:r>
        <w:rPr>
          <w:rFonts w:ascii="SimSun" w:eastAsia="SimSun" w:hAnsi="SimSun" w:cs="SimSun"/>
        </w:rPr>
        <w:t>万多商科人才，被社会誉为</w:t>
      </w:r>
      <w:r>
        <w:rPr>
          <w:rFonts w:ascii="Times New Roman" w:eastAsia="Times New Roman" w:hAnsi="Times New Roman" w:cs="Times New Roman"/>
        </w:rPr>
        <w:t>“</w:t>
      </w:r>
      <w:r>
        <w:rPr>
          <w:rFonts w:ascii="SimSun" w:eastAsia="SimSun" w:hAnsi="SimSun" w:cs="SimSun"/>
        </w:rPr>
        <w:t>黔商摇篮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贵州省省属普通本科高校、贵州省第二批本科高校应用型转型发展试点学校。学院以工商管理、应用经济学为主干学科，计算机科学与技术、艺术学为支撑学科，打造面向商务服务业、商贸流通业、生活服务业、商业信息和大数据应用四大专业群。目前有</w:t>
      </w:r>
      <w:r>
        <w:rPr>
          <w:rFonts w:ascii="Times New Roman" w:eastAsia="Times New Roman" w:hAnsi="Times New Roman" w:cs="Times New Roman"/>
        </w:rPr>
        <w:t>13</w:t>
      </w:r>
      <w:r>
        <w:rPr>
          <w:rFonts w:ascii="SimSun" w:eastAsia="SimSun" w:hAnsi="SimSun" w:cs="SimSun"/>
        </w:rPr>
        <w:t>个二级教学院</w:t>
      </w:r>
      <w:r>
        <w:rPr>
          <w:rFonts w:ascii="Times New Roman" w:eastAsia="Times New Roman" w:hAnsi="Times New Roman" w:cs="Times New Roman"/>
        </w:rPr>
        <w:t>(</w:t>
      </w:r>
      <w:r>
        <w:rPr>
          <w:rFonts w:ascii="SimSun" w:eastAsia="SimSun" w:hAnsi="SimSun" w:cs="SimSun"/>
        </w:rPr>
        <w:t>部），</w:t>
      </w:r>
      <w:r>
        <w:rPr>
          <w:rFonts w:ascii="Times New Roman" w:eastAsia="Times New Roman" w:hAnsi="Times New Roman" w:cs="Times New Roman"/>
        </w:rPr>
        <w:t>27</w:t>
      </w:r>
      <w:r>
        <w:rPr>
          <w:rFonts w:ascii="SimSun" w:eastAsia="SimSun" w:hAnsi="SimSun" w:cs="SimSun"/>
        </w:rPr>
        <w:t>个本科专业</w:t>
      </w:r>
      <w:r>
        <w:rPr>
          <w:rFonts w:ascii="Times New Roman" w:eastAsia="Times New Roman" w:hAnsi="Times New Roman" w:cs="Times New Roman"/>
        </w:rPr>
        <w:t>,</w:t>
      </w:r>
      <w:r>
        <w:rPr>
          <w:rFonts w:ascii="SimSun" w:eastAsia="SimSun" w:hAnsi="SimSun" w:cs="SimSun"/>
        </w:rPr>
        <w:t>在校生规模</w:t>
      </w:r>
      <w:r>
        <w:rPr>
          <w:rFonts w:ascii="Times New Roman" w:eastAsia="Times New Roman" w:hAnsi="Times New Roman" w:cs="Times New Roman"/>
        </w:rPr>
        <w:t>11000</w:t>
      </w:r>
      <w:r>
        <w:rPr>
          <w:rFonts w:ascii="SimSun" w:eastAsia="SimSun" w:hAnsi="SimSun" w:cs="SimSun"/>
        </w:rPr>
        <w:t>余人。</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月，经教育部批准，与澳大利亚悉尼国际管理学院合作举办会展经济与管理专业本科层次中外合作办学项目。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学院坚持以立德树人为根本任务，按照</w:t>
      </w:r>
      <w:r>
        <w:rPr>
          <w:rFonts w:ascii="Times New Roman" w:eastAsia="Times New Roman" w:hAnsi="Times New Roman" w:cs="Times New Roman"/>
        </w:rPr>
        <w:t>“</w:t>
      </w:r>
      <w:r>
        <w:rPr>
          <w:rFonts w:ascii="SimSun" w:eastAsia="SimSun" w:hAnsi="SimSun" w:cs="SimSun"/>
        </w:rPr>
        <w:t>培养德智体美劳全面发展的社会主义建设者和接班人</w:t>
      </w:r>
      <w:r>
        <w:rPr>
          <w:rFonts w:ascii="Times New Roman" w:eastAsia="Times New Roman" w:hAnsi="Times New Roman" w:cs="Times New Roman"/>
        </w:rPr>
        <w:t>”</w:t>
      </w:r>
      <w:r>
        <w:rPr>
          <w:rFonts w:ascii="SimSun" w:eastAsia="SimSun" w:hAnsi="SimSun" w:cs="SimSun"/>
        </w:rPr>
        <w:t>教育方针，秉承</w:t>
      </w:r>
      <w:r>
        <w:rPr>
          <w:rFonts w:ascii="Times New Roman" w:eastAsia="Times New Roman" w:hAnsi="Times New Roman" w:cs="Times New Roman"/>
        </w:rPr>
        <w:t>“</w:t>
      </w:r>
      <w:r>
        <w:rPr>
          <w:rFonts w:ascii="SimSun" w:eastAsia="SimSun" w:hAnsi="SimSun" w:cs="SimSun"/>
        </w:rPr>
        <w:t>尚信塑品、致用立身</w:t>
      </w:r>
      <w:r>
        <w:rPr>
          <w:rFonts w:ascii="Times New Roman" w:eastAsia="Times New Roman" w:hAnsi="Times New Roman" w:cs="Times New Roman"/>
        </w:rPr>
        <w:t>”</w:t>
      </w:r>
      <w:r>
        <w:rPr>
          <w:rFonts w:ascii="SimSun" w:eastAsia="SimSun" w:hAnsi="SimSun" w:cs="SimSun"/>
        </w:rPr>
        <w:t>的贵商校训，以</w:t>
      </w:r>
      <w:r>
        <w:rPr>
          <w:rFonts w:ascii="Times New Roman" w:eastAsia="Times New Roman" w:hAnsi="Times New Roman" w:cs="Times New Roman"/>
        </w:rPr>
        <w:t>“</w:t>
      </w:r>
      <w:r>
        <w:rPr>
          <w:rFonts w:ascii="SimSun" w:eastAsia="SimSun" w:hAnsi="SimSun" w:cs="SimSun"/>
        </w:rPr>
        <w:t>商科为主、法商融合、技术支撑、人文渗透、多科协调</w:t>
      </w:r>
      <w:r>
        <w:rPr>
          <w:rFonts w:ascii="Times New Roman" w:eastAsia="Times New Roman" w:hAnsi="Times New Roman" w:cs="Times New Roman"/>
        </w:rPr>
        <w:t>”</w:t>
      </w:r>
      <w:r>
        <w:rPr>
          <w:rFonts w:ascii="SimSun" w:eastAsia="SimSun" w:hAnsi="SimSun" w:cs="SimSun"/>
        </w:rPr>
        <w:t>为学科专业目标定位，构建新商科人才培养体系，致力于培养符合新时代要求、道德修养好、专业基础实、实践能力强、综合素质高，具有创新精神、创业能力和社会责任感的新商科高级专门人才。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学院成立招生工作委员会和普通本科招生录取工作领导小组</w:t>
      </w:r>
      <w:r>
        <w:rPr>
          <w:rFonts w:ascii="Times New Roman" w:eastAsia="Times New Roman" w:hAnsi="Times New Roman" w:cs="Times New Roman"/>
        </w:rPr>
        <w:t>(</w:t>
      </w:r>
      <w:r>
        <w:rPr>
          <w:rFonts w:ascii="SimSun" w:eastAsia="SimSun" w:hAnsi="SimSun" w:cs="SimSun"/>
        </w:rPr>
        <w:t>下设招生办公室</w:t>
      </w:r>
      <w:r>
        <w:rPr>
          <w:rFonts w:ascii="Times New Roman" w:eastAsia="Times New Roman" w:hAnsi="Times New Roman" w:cs="Times New Roman"/>
        </w:rPr>
        <w:t>)</w:t>
      </w:r>
      <w:r>
        <w:rPr>
          <w:rFonts w:ascii="SimSun" w:eastAsia="SimSun" w:hAnsi="SimSun" w:cs="SimSun"/>
        </w:rPr>
        <w:t>。学院普通本科招生录取工作领导小组，在学院招生工作委员会的领导下，贯彻落实教育部、省招生委员会招生工作的有关政策，全面负责学院普通本科招生录取工作。招生办公室为学院招生常设机构，执行学院招生工作委员会和普通本科招生录取工作领导小组的决定，具体负责学院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学院成立由相关职能部门负责人为主的招生录取工作组，纪检、监察部门参与监督管理，坚持公平公正的原则做好招生录取工作。严禁徇私舞弊，对工作中的违规违纪行为，按教育部第</w:t>
      </w:r>
      <w:r>
        <w:rPr>
          <w:rFonts w:ascii="Times New Roman" w:eastAsia="Times New Roman" w:hAnsi="Times New Roman" w:cs="Times New Roman"/>
        </w:rPr>
        <w:t>33</w:t>
      </w:r>
      <w:r>
        <w:rPr>
          <w:rFonts w:ascii="SimSun" w:eastAsia="SimSun" w:hAnsi="SimSun" w:cs="SimSun"/>
        </w:rPr>
        <w:t>号令和第</w:t>
      </w:r>
      <w:r>
        <w:rPr>
          <w:rFonts w:ascii="Times New Roman" w:eastAsia="Times New Roman" w:hAnsi="Times New Roman" w:cs="Times New Roman"/>
        </w:rPr>
        <w:t>36</w:t>
      </w:r>
      <w:r>
        <w:rPr>
          <w:rFonts w:ascii="SimSun" w:eastAsia="SimSun" w:hAnsi="SimSun" w:cs="SimSun"/>
        </w:rPr>
        <w:t>号令严肃查处。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我院招收普通本科分专业计划以各省级招生考试管理机构公布的</w:t>
      </w:r>
      <w:r>
        <w:rPr>
          <w:rFonts w:ascii="Times New Roman" w:eastAsia="Times New Roman" w:hAnsi="Times New Roman" w:cs="Times New Roman"/>
        </w:rPr>
        <w:t>2020</w:t>
      </w:r>
      <w:r>
        <w:rPr>
          <w:rFonts w:ascii="SimSun" w:eastAsia="SimSun" w:hAnsi="SimSun" w:cs="SimSun"/>
        </w:rPr>
        <w:t>年高考招生计划为准。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考生根据所在省级招生考试管理机构公布的分专业招生计划查询填报志愿。艺术类考生参加所在省份普通高考艺术类统考并上线的考生，可填报贵州商学院艺术类相关专业。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考生外语语种除中外合作办学项目专业学生限英语语种以外，其余专业均不限外语语种，但进校后外语统一学习英语。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学院录取严格按照各省级招生考试管理机构划定的最低投档线，根据考生专业志愿顺序从高分到低分择优录取。专业安排及退档实行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的原则，考生所填专业志愿都无法满足时，则根据考生成绩从高分到低分在服从专业调剂的考生中调剂录取，若不服从专业调剂或服从专业</w:t>
      </w:r>
      <w:r>
        <w:rPr>
          <w:rFonts w:ascii="Times New Roman" w:eastAsia="Times New Roman" w:hAnsi="Times New Roman" w:cs="Times New Roman"/>
        </w:rPr>
        <w:t>3</w:t>
      </w:r>
      <w:r>
        <w:rPr>
          <w:rFonts w:ascii="SimSun" w:eastAsia="SimSun" w:hAnsi="SimSun" w:cs="SimSun"/>
        </w:rPr>
        <w:t>调剂但各专业计划已录取满额时，则做退档处理。艺术类考生术科考试成绩和文化考试成绩均须达到生源所在地省（市、自治区）招生考试管理机构确定的同批次录取控制分数线（艺术管理专业以贵州省音乐学类专业统考成绩为术科成绩）。贵州省内艺术类考生，学院按术科成绩从高分到低分择优录取，考生术科成绩相同时，优先录取文化课成绩较高的考生；如文化成绩总分相同，按我省确定的文化总分同分排序细则进行排序录取。贵州省外艺术类考生，严格按照生源所在省（市、自治区）招生考试管理机构对艺术专业招生工作实施意见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收费标准：严格按贵州省价格主管部门批准的项目及标准执行。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奖学金：国家奖学金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年；另外，学院设有院级奖学金，奖励各方面有突出表现的优秀学生。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学院录取的新生，可按政策到生源地教育局学生资助中心申请</w:t>
      </w:r>
      <w:r>
        <w:rPr>
          <w:rFonts w:ascii="Times New Roman" w:eastAsia="Times New Roman" w:hAnsi="Times New Roman" w:cs="Times New Roman"/>
        </w:rPr>
        <w:t>“</w:t>
      </w:r>
      <w:r>
        <w:rPr>
          <w:rFonts w:ascii="SimSun" w:eastAsia="SimSun" w:hAnsi="SimSun" w:cs="SimSun"/>
        </w:rPr>
        <w:t>生源地信用助学贷款</w:t>
      </w:r>
      <w:r>
        <w:rPr>
          <w:rFonts w:ascii="Times New Roman" w:eastAsia="Times New Roman" w:hAnsi="Times New Roman" w:cs="Times New Roman"/>
        </w:rPr>
        <w:t>”</w:t>
      </w:r>
      <w:r>
        <w:rPr>
          <w:rFonts w:ascii="SimSun" w:eastAsia="SimSun" w:hAnsi="SimSun" w:cs="SimSun"/>
        </w:rPr>
        <w:t>；同时，学院对家庭经济困难的学生通过国家助学金、勤工助学、困难补助、学费减免、社会资助等多元一体的资助体系帮助顺利完成学业；对于在我院就读的本省户籍农村建档立卡贫困户子女，按国家扶贫政策有关规定进行教育精准扶贫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颁发国家承认学历的、经教育部电子注册的贵州商学院相应层次的毕业证书，并以此具印。符合学士学位授予条件的，授予学士学位并颁发相应学科门类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贵州商学院与澳大利亚悉尼国际管理学院合作举办会展经济与管理专业本科教育项目学生由双方共同培养，双方共同制定教学计划和培养方案，共同授课。本项目学制四年，采取</w:t>
      </w:r>
      <w:r>
        <w:rPr>
          <w:rFonts w:ascii="Times New Roman" w:eastAsia="Times New Roman" w:hAnsi="Times New Roman" w:cs="Times New Roman"/>
        </w:rPr>
        <w:t xml:space="preserve"> “4+0 ”</w:t>
      </w:r>
      <w:r>
        <w:rPr>
          <w:rFonts w:ascii="SimSun" w:eastAsia="SimSun" w:hAnsi="SimSun" w:cs="SimSun"/>
        </w:rPr>
        <w:t>培养模式，项目学生达到毕业条件和学位授予条件，颁发贵州商学院本科毕业证书和学位证书。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体检标准严格按照教育部、卫生部、中国残疾人联合会制定的《普通高等学校招生体检工作指导意见》及有关补充规定执行。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录取考生须按时到校报到，因故不能按时报到的考生必须向学院提出书面申请，经同意后方可延期报到。未办理请假手续或请假逾期不报到的考生，视为自动放弃入学资格。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新生入学后，学院按照国家招生规定对其进行复查。复查不合格者，由学院区别情况，予以处理，直至取消入学资格。经查实属弄虚作假、徇私舞弊取得学籍者，取消其学籍。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本章程由贵州商学院负责解释。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人：朱娟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0851—84874637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 xml:space="preserve">0851—84602915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http://www.gzcc.edu.cn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学院地址：贵阳市白云区麦架镇二十六大道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学院邮编：</w:t>
      </w:r>
      <w:r>
        <w:rPr>
          <w:rFonts w:ascii="Times New Roman" w:eastAsia="Times New Roman" w:hAnsi="Times New Roman" w:cs="Times New Roman"/>
        </w:rPr>
        <w:t xml:space="preserve">550014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37.html" TargetMode="External" /><Relationship Id="rId5" Type="http://schemas.openxmlformats.org/officeDocument/2006/relationships/hyperlink" Target="http://www.gk114.com/a/gxzs/zszc/guizhou/2020/0628/1713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