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贵州大学明德学院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2019-06-12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为规范招生工作，保证学院招生工作顺利进行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切实维护学院和考生的合法权益，根据《中华人民共和国教育法》、《中华人民共和国高等教育法》和教育部、贵州省有关规定，结合贵州大学明德学院实际情况，特制定本章程。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本章程适用于贵州大学明德学院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年普通本科招生工作。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学校概况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院校名称：贵州大学明德学院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院校国标代码：</w:t>
      </w:r>
      <w:r>
        <w:rPr>
          <w:rFonts w:ascii="Times New Roman" w:eastAsia="Times New Roman" w:hAnsi="Times New Roman" w:cs="Times New Roman"/>
        </w:rPr>
        <w:t xml:space="preserve">4152013650 </w:t>
      </w: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学院地址：贵州省贵阳市花溪大学城思雅路贵州大学明德学院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550025 </w:t>
      </w: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办学层次：本科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办学性质：独立学院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办学类型：普通高等教育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学院主管单位：贵州省教育厅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招生计划和录取批次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2019</w:t>
      </w:r>
      <w:r>
        <w:rPr>
          <w:rFonts w:ascii="SimSun" w:eastAsia="SimSun" w:hAnsi="SimSun" w:cs="SimSun"/>
        </w:rPr>
        <w:t>年学院分专业招生计划和录取批次以各省招生主管部门公布为准。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坚持公开、公平、公正的录取原则，以全国普通高等学校统一招生考试成绩为依据，按照各省（自治区、直辖市）招生行政主管部门的相关规定，德智体全面衡量，择优录取。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专业录取时采用分数优先、专业排序、不设级差原则，按分数从高到低录取。当考生所报专业志愿都无法满足时，若不服从调剂，作退档处理；若服从调剂，则根据同科类专业缺额情况按分数从高到低进行调剂录取，如专业计划已录取满额则作退档处理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招收的学生男女比例不限。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除英语专业外，其他专业不限外语应试语种，进校后以英语作为公共外语教学语种。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身体健康状况要求：按照教育部、卫生部、中国残联制定的《普通高等学校招生体检工作指导意见》及有关补充规定执行。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对享受加分政策的考生，按照各省（市、区）招生办公室公布的加分规定予以认可。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艺术类专业的录取原则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（一）报考要求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考生须按所在省（自治区、直辖市）招办要求，报名参加所在省（自治区、直辖市）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年美术专业统考和普通高等学校招生全国统一考试。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（二）成绩认定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文化成绩：考生应参加所在省（自治区、直辖市）统一组织的高考，成绩应达到考生所在省（自治区、直辖市）招生行政主管部门划定的相关专业本科控制分数线。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专业成绩：省内考生以贵州省美术类专业统考成绩为准；省外生源认可考生所在省（自治区、直辖市）美术类专业统考成绩（未组织统考的，认可贵州大学在该省组织的美术类考试成绩）。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（三）录取规则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经德、智、体全面考核，考生文化考试成绩在所在省（自治区、直辖市）划定的最低控制分数线上，在考生所在省（自治区、直辖市）投档范围内按专业成绩从高分到低分顺序择优录取。考生专业成绩相同时，按文化考试成绩从高分到低分顺序择优录取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收费标准与助学措施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学校将严格按照贵州省价格主管部门批准的学费、住宿费等收费项目及标准执行。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设立了优秀学生奖学金、学习进步奖学金、学术科技创新单项奖学金、艺术单项奖学金、体育单项奖学金、社会实践单项奖学金、自立自强逆境成才单项奖学金、志愿者单项奖学金、公民道德素养单项奖学金、毕业生考研奖学金。按国家有关政策规定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考生可通过生源地助学贷款解决在校期间部分学费、住宿费，减轻家庭经济负担；同时，学校通过国家励志奖学金、国家助学金、勤工助学、临时困难补助和社会捐助等对学院经济困难的学生进行资助。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学历学位授予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在规定的年限内修完教学计划规定的内容，达到毕业要求，发给国家承认学历的、经教育部电子注册的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贵州大学明德学院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毕业证书并以此具印，证书种类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全日制普通高等学校毕业证书。对符合学位授予条件的毕业生，授予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贵州大学明德学院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学士学位并颁发学位证书。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学院招生联系方式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>0851—86605992</w:t>
      </w:r>
      <w:r>
        <w:rPr>
          <w:rFonts w:ascii="SimSun" w:eastAsia="SimSun" w:hAnsi="SimSun" w:cs="SimSun"/>
        </w:rPr>
        <w:t>（兼传真）</w:t>
      </w:r>
      <w:r>
        <w:rPr>
          <w:rFonts w:ascii="Times New Roman" w:eastAsia="Times New Roman" w:hAnsi="Times New Roman" w:cs="Times New Roman"/>
        </w:rPr>
        <w:t xml:space="preserve"> 0851—88925856 </w:t>
      </w:r>
      <w:r>
        <w:rPr>
          <w:rFonts w:ascii="SimSun" w:eastAsia="SimSun" w:hAnsi="SimSun" w:cs="SimSun"/>
        </w:rPr>
        <w:t>监督电话：</w:t>
      </w:r>
      <w:r>
        <w:rPr>
          <w:rFonts w:ascii="Times New Roman" w:eastAsia="Times New Roman" w:hAnsi="Times New Roman" w:cs="Times New Roman"/>
        </w:rPr>
        <w:t xml:space="preserve">0851—88920706 E-Mail:mdzhaojiubu@163.com </w:t>
      </w:r>
      <w:r>
        <w:rPr>
          <w:rFonts w:ascii="SimSun" w:eastAsia="SimSun" w:hAnsi="SimSun" w:cs="SimSun"/>
        </w:rPr>
        <w:t>学院网址：</w:t>
      </w:r>
      <w:r>
        <w:rPr>
          <w:rFonts w:ascii="Times New Roman" w:eastAsia="Times New Roman" w:hAnsi="Times New Roman" w:cs="Times New Roman"/>
        </w:rPr>
        <w:t xml:space="preserve">http://mdc.gzu.edu.cn/ </w:t>
      </w:r>
      <w:r>
        <w:rPr>
          <w:rFonts w:ascii="SimSun" w:eastAsia="SimSun" w:hAnsi="SimSun" w:cs="SimSun"/>
        </w:rPr>
        <w:t>招生网址：</w:t>
      </w:r>
      <w:r>
        <w:rPr>
          <w:rFonts w:ascii="Times New Roman" w:eastAsia="Times New Roman" w:hAnsi="Times New Roman" w:cs="Times New Roman"/>
        </w:rPr>
        <w:t xml:space="preserve">http://mdc.gzu.edu.cn/zs/ </w:t>
      </w: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本《章程》若与国家法律、法规、规章、规范和有关政策相抵触的，以国家法律、法规、规章、规范和有关政策为准。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第二十三条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本章程由贵州大学明德学院招生办公室负责解释。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贵州财经大学商务学院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贵州师范大学求是学院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贵州财经职业学院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贵州健康职业学院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贵州电子商务职业技术学院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贵州农业职业学院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贵州工商职业学院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贵州轻工职业技术学院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贵州师范大学求是学院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贵州财经大学商务学院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年贵州航天职业技术学院招生章程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贵州师范大学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uizhou/2020/0628/17155.html" TargetMode="External" /><Relationship Id="rId11" Type="http://schemas.openxmlformats.org/officeDocument/2006/relationships/hyperlink" Target="http://www.gk114.com/a/gxzs/zszc/guizhou/2020/0628/17153.html" TargetMode="External" /><Relationship Id="rId12" Type="http://schemas.openxmlformats.org/officeDocument/2006/relationships/hyperlink" Target="http://www.gk114.com/a/gxzs/zszc/guizhou/2020/0628/17151.html" TargetMode="External" /><Relationship Id="rId13" Type="http://schemas.openxmlformats.org/officeDocument/2006/relationships/hyperlink" Target="http://www.gk114.com/a/gxzs/zszc/guizhou/2020/0628/17150.html" TargetMode="External" /><Relationship Id="rId14" Type="http://schemas.openxmlformats.org/officeDocument/2006/relationships/hyperlink" Target="http://www.gk114.com/a/gxzs/zszc/guizhou/2020/0628/17149.html" TargetMode="External" /><Relationship Id="rId15" Type="http://schemas.openxmlformats.org/officeDocument/2006/relationships/hyperlink" Target="http://www.gk114.com/a/gxzs/zszc/guizhou/2020/0628/17147.html" TargetMode="External" /><Relationship Id="rId16" Type="http://schemas.openxmlformats.org/officeDocument/2006/relationships/hyperlink" Target="http://www.gk114.com/a/gxzs/zszc/guizhou/2020/0628/17144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uizhou/2019/0612/9755.html" TargetMode="External" /><Relationship Id="rId5" Type="http://schemas.openxmlformats.org/officeDocument/2006/relationships/hyperlink" Target="http://www.gk114.com/a/gxzs/zszc/guizhou/2019/0612/9757.html" TargetMode="External" /><Relationship Id="rId6" Type="http://schemas.openxmlformats.org/officeDocument/2006/relationships/hyperlink" Target="http://www.gk114.com/a/gxzs/zszc/guizhou/" TargetMode="External" /><Relationship Id="rId7" Type="http://schemas.openxmlformats.org/officeDocument/2006/relationships/hyperlink" Target="http://www.gk114.com/a/gxzs/zszc/guizhou/2020/0628/17159.html" TargetMode="External" /><Relationship Id="rId8" Type="http://schemas.openxmlformats.org/officeDocument/2006/relationships/hyperlink" Target="http://www.gk114.com/a/gxzs/zszc/guizhou/2020/0628/17157.html" TargetMode="External" /><Relationship Id="rId9" Type="http://schemas.openxmlformats.org/officeDocument/2006/relationships/hyperlink" Target="http://www.gk114.com/a/gxzs/zszc/guizhou/2020/0628/1715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