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为进一步深入实施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，做好贵州师范大学</w:t>
      </w:r>
      <w:r>
        <w:rPr>
          <w:rFonts w:ascii="Times New Roman" w:eastAsia="Times New Roman" w:hAnsi="Times New Roman" w:cs="Times New Roman"/>
        </w:rPr>
        <w:t>2020</w:t>
      </w:r>
      <w:r>
        <w:rPr>
          <w:rFonts w:ascii="SimSun" w:eastAsia="SimSun" w:hAnsi="SimSun" w:cs="SimSun"/>
        </w:rPr>
        <w:t>年本科招生录取工作，根据教育部、贵州省招生委员会、贵州省教育厅、贵州省招生考试院的有关文件规定，结合学校实际，特制定本章程。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4152010663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w:t>
      </w:r>
      <w:r>
        <w:rPr>
          <w:rFonts w:ascii="Times New Roman" w:eastAsia="Times New Roman" w:hAnsi="Times New Roman" w:cs="Times New Roman"/>
        </w:rPr>
        <w:t>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学校地址：宝山校区</w:t>
      </w:r>
      <w:r>
        <w:rPr>
          <w:rFonts w:ascii="Times New Roman" w:eastAsia="Times New Roman" w:hAnsi="Times New Roman" w:cs="Times New Roman"/>
        </w:rPr>
        <w:t>—</w:t>
      </w:r>
      <w:r>
        <w:rPr>
          <w:rFonts w:ascii="SimSun" w:eastAsia="SimSun" w:hAnsi="SimSun" w:cs="SimSun"/>
        </w:rPr>
        <w:t>贵州省贵阳市云岩区宝山北路</w:t>
      </w:r>
      <w:r>
        <w:rPr>
          <w:rFonts w:ascii="Times New Roman" w:eastAsia="Times New Roman" w:hAnsi="Times New Roman" w:cs="Times New Roman"/>
        </w:rPr>
        <w:t>116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花溪校区</w:t>
      </w:r>
      <w:r>
        <w:rPr>
          <w:rFonts w:ascii="Times New Roman" w:eastAsia="Times New Roman" w:hAnsi="Times New Roman" w:cs="Times New Roman"/>
        </w:rPr>
        <w:t>—</w:t>
      </w:r>
      <w:r>
        <w:rPr>
          <w:rFonts w:ascii="SimSun" w:eastAsia="SimSun" w:hAnsi="SimSun" w:cs="SimSun"/>
        </w:rPr>
        <w:t>贵州省贵安新区花溪大学城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由校党委书记、校长、校内有关部门负责人、教师代表、校友代表和学生代表组成的招生委员会，全面负责学校的本科招生录取工作。招生委员会下设办公室，办公室设在招生与就业指导处，具体组织实施本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年本科分专业招生计划详见各省（市、区）省级招生部门公布的招生计划。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我校本着公平、公正、公开的原则，在各省（市、区）招生办公室（考试院、考试中心）投档范围内，严格按照录取规则进行录取。有特殊要求的省（市、区），该地生源考生按相关要求进行录取。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按高考成绩从高分到低分进行排序，择优录取。若总分相同，优先录取去除政策加分后总分高的考生；若去除政策加分后总分仍然相同，则优先录取相关科目成绩高的考生，录取顺序如下（按序号顺序比较，录取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成绩高的考生，以此类推）：外语类专业相关科目：</w:t>
      </w:r>
      <w:r>
        <w:rPr>
          <w:rFonts w:ascii="Cambria Math" w:eastAsia="Cambria Math" w:hAnsi="Cambria Math" w:cs="Cambria Math"/>
        </w:rPr>
        <w:t>①</w:t>
      </w:r>
      <w:r>
        <w:rPr>
          <w:rFonts w:ascii="SimSun" w:eastAsia="SimSun" w:hAnsi="SimSun" w:cs="SimSun"/>
        </w:rPr>
        <w:t>外语、</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综合；文史类相关科目：</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综合；理工类相关科目：</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成绩从高分到低分进行排序，择优录取。若专业成绩相同，优先录取文化成绩总分高的考生；若文化成绩总分仍然相同，优先录取去除政策加分后文化成绩总分高的考生；若去除政策加分后文化成绩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）体育教育专业、社会体育指导与管理专业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术科成绩）从高分到低分排序，择优录取。若综合成绩相同，优先录取专业术科成绩高的考生；若专业术科成绩仍然相同；优先录取去除政策加分后文化总分高的考生；若去除政策加分后文化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）运动训练专业、武术与民族传统体育专业、高水平运动队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按教育部、国家体育总局相关文件执行。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（二）录取志愿顺序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我校优先录取第一志愿（第一次平行投档志愿）考生，若第一次投档（第一次平行投档）考生人数不足时，接收征集志愿考生。我校对征集志愿考生无分数级差要求。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（三）专业录取原则及退档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数从高分到低分录取；考生所填专业志愿都无法满足时，若服从专业调剂的，则在我校未录满的同科类专业内进行调剂录取，若不服从专业调剂的，则作退档处理。我校对专业安排无分数级差要求。少数民族预科不分专业，按文史、理工两大类录取，一年后按我校相关规定进行专业分流进入大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外语语种及外语单科成绩要求：英语专业要求外语语种为英语，英语单科成绩须达该科总分的</w:t>
      </w:r>
      <w:r>
        <w:rPr>
          <w:rFonts w:ascii="Times New Roman" w:eastAsia="Times New Roman" w:hAnsi="Times New Roman" w:cs="Times New Roman"/>
        </w:rPr>
        <w:t>70%</w:t>
      </w:r>
      <w:r>
        <w:rPr>
          <w:rFonts w:ascii="SimSun" w:eastAsia="SimSun" w:hAnsi="SimSun" w:cs="SimSun"/>
        </w:rPr>
        <w:t>，口试成绩须达该科总分的</w:t>
      </w:r>
      <w:r>
        <w:rPr>
          <w:rFonts w:ascii="Times New Roman" w:eastAsia="Times New Roman" w:hAnsi="Times New Roman" w:cs="Times New Roman"/>
        </w:rPr>
        <w:t>80%</w:t>
      </w:r>
      <w:r>
        <w:rPr>
          <w:rFonts w:ascii="SimSun" w:eastAsia="SimSun" w:hAnsi="SimSun" w:cs="SimSun"/>
        </w:rPr>
        <w:t>；日语专业要求外语语种为英语或日语，英语或日语单科成绩须达该科总分的</w:t>
      </w:r>
      <w:r>
        <w:rPr>
          <w:rFonts w:ascii="Times New Roman" w:eastAsia="Times New Roman" w:hAnsi="Times New Roman" w:cs="Times New Roman"/>
        </w:rPr>
        <w:t>45%</w:t>
      </w:r>
      <w:r>
        <w:rPr>
          <w:rFonts w:ascii="SimSun" w:eastAsia="SimSun" w:hAnsi="SimSun" w:cs="SimSun"/>
        </w:rPr>
        <w:t>；俄语专业要求外语语种为英语或俄语，英语或俄语单科成绩须达该科总分的</w:t>
      </w:r>
      <w:r>
        <w:rPr>
          <w:rFonts w:ascii="Times New Roman" w:eastAsia="Times New Roman" w:hAnsi="Times New Roman" w:cs="Times New Roman"/>
        </w:rPr>
        <w:t>45%</w:t>
      </w:r>
      <w:r>
        <w:rPr>
          <w:rFonts w:ascii="SimSun" w:eastAsia="SimSun" w:hAnsi="SimSun" w:cs="SimSun"/>
        </w:rPr>
        <w:t>；旅游管理（</w:t>
      </w:r>
      <w:r>
        <w:rPr>
          <w:rFonts w:ascii="Times New Roman" w:eastAsia="Times New Roman" w:hAnsi="Times New Roman" w:cs="Times New Roman"/>
        </w:rPr>
        <w:t>3</w:t>
      </w:r>
      <w:r>
        <w:rPr>
          <w:rFonts w:ascii="SimSun" w:eastAsia="SimSun" w:hAnsi="SimSun" w:cs="SimSun"/>
        </w:rPr>
        <w:t>加</w:t>
      </w:r>
      <w:r>
        <w:rPr>
          <w:rFonts w:ascii="Times New Roman" w:eastAsia="Times New Roman" w:hAnsi="Times New Roman" w:cs="Times New Roman"/>
        </w:rPr>
        <w:t>1</w:t>
      </w:r>
      <w:r>
        <w:rPr>
          <w:rFonts w:ascii="SimSun" w:eastAsia="SimSun" w:hAnsi="SimSun" w:cs="SimSun"/>
        </w:rPr>
        <w:t>培养模式）、计算机科学与技术（</w:t>
      </w:r>
      <w:r>
        <w:rPr>
          <w:rFonts w:ascii="Times New Roman" w:eastAsia="Times New Roman" w:hAnsi="Times New Roman" w:cs="Times New Roman"/>
        </w:rPr>
        <w:t>3</w:t>
      </w:r>
      <w:r>
        <w:rPr>
          <w:rFonts w:ascii="SimSun" w:eastAsia="SimSun" w:hAnsi="SimSun" w:cs="SimSun"/>
        </w:rPr>
        <w:t>加</w:t>
      </w:r>
      <w:r>
        <w:rPr>
          <w:rFonts w:ascii="Times New Roman" w:eastAsia="Times New Roman" w:hAnsi="Times New Roman" w:cs="Times New Roman"/>
        </w:rPr>
        <w:t>1</w:t>
      </w:r>
      <w:r>
        <w:rPr>
          <w:rFonts w:ascii="SimSun" w:eastAsia="SimSun" w:hAnsi="SimSun" w:cs="SimSun"/>
        </w:rPr>
        <w:t>培养模式）要求外语单科成绩须达该科总分的</w:t>
      </w:r>
      <w:r>
        <w:rPr>
          <w:rFonts w:ascii="Times New Roman" w:eastAsia="Times New Roman" w:hAnsi="Times New Roman" w:cs="Times New Roman"/>
        </w:rPr>
        <w:t>47%</w:t>
      </w:r>
      <w:r>
        <w:rPr>
          <w:rFonts w:ascii="SimSun" w:eastAsia="SimSun" w:hAnsi="SimSun" w:cs="SimSun"/>
        </w:rPr>
        <w:t>；其他专业不限外语语种及外语成绩，入学后公共外语只开设大学英语。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汉语言文学、汉语国际教育专业要求语文单科成绩须达该科总分的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数学与应用数学专业要求数学单科成绩须达该科总分的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体育教育、社会体育指导与管理专业（高水平运动队除外）要求男生身高达</w:t>
      </w:r>
      <w:r>
        <w:rPr>
          <w:rFonts w:ascii="Times New Roman" w:eastAsia="Times New Roman" w:hAnsi="Times New Roman" w:cs="Times New Roman"/>
        </w:rPr>
        <w:t>168CM</w:t>
      </w:r>
      <w:r>
        <w:rPr>
          <w:rFonts w:ascii="SimSun" w:eastAsia="SimSun" w:hAnsi="SimSun" w:cs="SimSun"/>
        </w:rPr>
        <w:t>、女生身高达</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音乐表演专业声乐演唱专项要求男生身高达</w:t>
      </w:r>
      <w:r>
        <w:rPr>
          <w:rFonts w:ascii="Times New Roman" w:eastAsia="Times New Roman" w:hAnsi="Times New Roman" w:cs="Times New Roman"/>
        </w:rPr>
        <w:t>170CM</w:t>
      </w:r>
      <w:r>
        <w:rPr>
          <w:rFonts w:ascii="SimSun" w:eastAsia="SimSun" w:hAnsi="SimSun" w:cs="SimSun"/>
        </w:rPr>
        <w:t>，女生身高达</w:t>
      </w:r>
      <w:r>
        <w:rPr>
          <w:rFonts w:ascii="Times New Roman" w:eastAsia="Times New Roman" w:hAnsi="Times New Roman" w:cs="Times New Roman"/>
        </w:rPr>
        <w:t>160CM</w:t>
      </w:r>
      <w:r>
        <w:rPr>
          <w:rFonts w:ascii="SimSun" w:eastAsia="SimSun" w:hAnsi="SimSun" w:cs="SimSun"/>
        </w:rPr>
        <w:t>，其他不限。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汉语言文学、法学、思想政治教育、经济学、财务管理、英语、小学教育、数学与应用数学、物理学类、化学、生物科学类、地理科学、土木工程、信息与计算科学、应用统计学、地理信息科学、人文地理与城乡规划、教育学、应用心理学、教育技术学、学前教育等专业在贵州省按第一批次本科招生，具体专业以贵州省</w:t>
      </w:r>
      <w:r>
        <w:rPr>
          <w:rFonts w:ascii="Times New Roman" w:eastAsia="Times New Roman" w:hAnsi="Times New Roman" w:cs="Times New Roman"/>
        </w:rPr>
        <w:t>2020</w:t>
      </w:r>
      <w:r>
        <w:rPr>
          <w:rFonts w:ascii="SimSun" w:eastAsia="SimSun" w:hAnsi="SimSun" w:cs="SimSun"/>
        </w:rPr>
        <w:t>年高校招生专业目录为准。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（五）按类招生专业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生物技术专业按生物科学类招生；物理学、天文学专业按物理学类招生；电子信息科学与技术、电子信息工程按电子信息类招生。以上专业按类填报志愿和录取，按类发放录取通知书，学生进校后按我校专业分流有关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年在贵州省招收国家专项计划、地方专项计划，具体专业和计划以贵州省</w:t>
      </w:r>
      <w:r>
        <w:rPr>
          <w:rFonts w:ascii="Times New Roman" w:eastAsia="Times New Roman" w:hAnsi="Times New Roman" w:cs="Times New Roman"/>
        </w:rPr>
        <w:t>2020</w:t>
      </w:r>
      <w:r>
        <w:rPr>
          <w:rFonts w:ascii="SimSun" w:eastAsia="SimSun" w:hAnsi="SimSun" w:cs="SimSun"/>
        </w:rPr>
        <w:t>年高校招生专业目录为准。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按教育部、卫生部、中国残联《普通高等学校招生体检工作指导意见》及相关补充规定执行。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严格按照贵州省价格主管部门批准的学费、住宿费等项目及收费标准执行。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根据《教育部办公厅关于做好对口支援高校联合培养本科生等相关工作的通知》（教高厅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号）文件精神，我校今年继续与厦门大学（我校对口支援高校）联合培养部分专业本科学生，毕业证书和学位证书由我校颁发，注明两校联合培养，厦门大学附加印章予以确认。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奖学金、助学金等资助政策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我校建立了以奖、助、贷、勤、减、免、补为一体的资助体系，设有国家奖学金、国家励志奖学金、国家助学金、教育精准扶贫学生资助、校级奖学金、社会捐资设立的奖助学金</w:t>
      </w:r>
      <w:r>
        <w:rPr>
          <w:rFonts w:ascii="Times New Roman" w:eastAsia="Times New Roman" w:hAnsi="Times New Roman" w:cs="Times New Roman"/>
        </w:rPr>
        <w:t>(</w:t>
      </w:r>
      <w:r>
        <w:rPr>
          <w:rFonts w:ascii="SimSun" w:eastAsia="SimSun" w:hAnsi="SimSun" w:cs="SimSun"/>
        </w:rPr>
        <w:t>如女子升大计划助学金、叶圣陶奖学金等</w:t>
      </w:r>
      <w:r>
        <w:rPr>
          <w:rFonts w:ascii="Times New Roman" w:eastAsia="Times New Roman" w:hAnsi="Times New Roman" w:cs="Times New Roman"/>
        </w:rPr>
        <w:t>)</w:t>
      </w:r>
      <w:r>
        <w:rPr>
          <w:rFonts w:ascii="SimSun" w:eastAsia="SimSun" w:hAnsi="SimSun" w:cs="SimSun"/>
        </w:rPr>
        <w:t>。同时，我校在新生报到期间设立</w:t>
      </w:r>
      <w:r>
        <w:rPr>
          <w:rFonts w:ascii="Times New Roman" w:eastAsia="Times New Roman" w:hAnsi="Times New Roman" w:cs="Times New Roman"/>
        </w:rPr>
        <w:t>“</w:t>
      </w:r>
      <w:r>
        <w:rPr>
          <w:rFonts w:ascii="SimSun" w:eastAsia="SimSun" w:hAnsi="SimSun" w:cs="SimSun"/>
        </w:rPr>
        <w:t>教育精准扶贫学生缴费绿色通道</w:t>
      </w:r>
      <w:r>
        <w:rPr>
          <w:rFonts w:ascii="Times New Roman" w:eastAsia="Times New Roman" w:hAnsi="Times New Roman" w:cs="Times New Roman"/>
        </w:rPr>
        <w:t>”</w:t>
      </w:r>
      <w:r>
        <w:rPr>
          <w:rFonts w:ascii="SimSun" w:eastAsia="SimSun" w:hAnsi="SimSun" w:cs="SimSun"/>
        </w:rPr>
        <w:t>，对贵州籍建档立卡户学生，按</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年的标准免除学费，学校只收取超出以上标准的部分费用。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毕业与学位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我校录取的本科生修完该专业教学计划规定的课程，达到学校相关要求的，发给国家承认学历、经教育部学籍学历电子注册的贵州师范大学毕业证书，并以此具印，符合学士学位授予条件的授予学士学位证书。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新生入学三个月内，学校将对其进行全面复查，复查不合格者，学校根据国家有关规定予以处理，直至取消入学资格。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本章程由学校招生与就业指导处负责解释。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0851-86701855</w:t>
      </w:r>
      <w:r>
        <w:rPr>
          <w:rFonts w:ascii="SimSun" w:eastAsia="SimSun" w:hAnsi="SimSun" w:cs="SimSun"/>
        </w:rPr>
        <w:t>，</w:t>
      </w:r>
      <w:r>
        <w:rPr>
          <w:rFonts w:ascii="Times New Roman" w:eastAsia="Times New Roman" w:hAnsi="Times New Roman" w:cs="Times New Roman"/>
        </w:rPr>
        <w:t>86701139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 xml:space="preserve">0851-83227014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学校网站：</w:t>
      </w:r>
      <w:r>
        <w:rPr>
          <w:rFonts w:ascii="Times New Roman" w:eastAsia="Times New Roman" w:hAnsi="Times New Roman" w:cs="Times New Roman"/>
        </w:rPr>
        <w:t xml:space="preserve">https://www.gznu.edu.cn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3.html" TargetMode="External" /><Relationship Id="rId5" Type="http://schemas.openxmlformats.org/officeDocument/2006/relationships/hyperlink" Target="http://www.gk114.com/a/gxzs/zszc/guizhou/2020/0628/1714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