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贵州应用技术职业学院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贵州应用技术职业学院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根据《中华人民共和国教育法》、《中华人民共和国高等教育法》，确保我院普通高考招生工作的顺利进行，确保招生行为规范，确保广大考生的合法权益得到维护，特制定本章程。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贵州应用技术职业学院是经贵州省政府批准设立，通过教育部备案的全日制普通高等职业院校。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4152014579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学院地址：贵州省黔南州福泉市金鸡山东路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贵州应用技术职业学院坐落于贵州历史文化名城福泉市洒金河畔，环境优美、设施先进、管理规范、特色鲜明，是家长乐送、学生乐学、教师乐教、企业乐用的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快乐校园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学院教学、生活设施齐全。学院从打造鲜花校园建设入手，建成了银杏大道、杨梅园、桂花坛、桃园，种植了大量芙蓉、杜鹃、玫瑰等植物，四季成荫、鲜花盛开、风景如画，是广大学子学习成长的理想场所。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学院现有专任教师</w:t>
      </w:r>
      <w:r>
        <w:rPr>
          <w:rFonts w:ascii="Times New Roman" w:eastAsia="Times New Roman" w:hAnsi="Times New Roman" w:cs="Times New Roman"/>
        </w:rPr>
        <w:t>280</w:t>
      </w:r>
      <w:r>
        <w:rPr>
          <w:rFonts w:ascii="SimSun" w:eastAsia="SimSun" w:hAnsi="SimSun" w:cs="SimSun"/>
        </w:rPr>
        <w:t>余人，其中副高级以上职称教师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余人，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双师双能型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学院实行开门办学，走产学研结合的道路，与希望集团、上海大众、瓮福集团、川恒化工股份有限公司以及贵州省内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余家二甲及以上医院等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多家明星企业签订校企合作协议，建立实训就业基地，共同培养学生，为学生实习和高质量就业提供了广阔平台。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应用技术职业学院成立招生工作领导小组，主要负责贯彻落实教育部、省教育厅有关招生工作的政策，执行学院有关招生工作的决议，研究制定招生政策，审定招生计划，讨论决定招生工作等重大事宜。学院招生工作领导小组下设招生处，主要负责日常招生工作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学院成立由党委和有关部门的负责人组成的招生工作监查领导小组，负责监督招生工作各项政策和贯彻落实，确保招生工作公开、公正、公平，确保广大考生的合法权益得到维护。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招生计划与专业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根据学院现有办学条件、近年来各地生源情况，本着服务地方经济，培养社会急需高素质应用型人才的原则，编制专业招生计划。我院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年分专业计划详见各省（市、区）招生部门公布的招生计划，以各省招生考试部门公布为准，招生专业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面向贵州招收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年高考的应（往）届高中毕业生、中职毕业生。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思想政治品德和身体健康状况均符合教育部《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年普通高等学校招生工作规定》。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录取期间本着充分利用招生计划的原则，在总计划数不变的前提下，遵照主管部门计划调整要求调整专业（科类）计划。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报考我院的考生首先应根据自己的高考科类，在《贵州省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年高考高校招生专业目录》中高职《专科》查询我院各专业招生代码等专业信息，然后按照贵州省招生考试院相关规定在网上填报志愿。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录取分数标准执行各省招生主管部门确认的专科录取分数线。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我院不设置非第一志愿分数级差，录取按照志愿优先方式，依次录取。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我院对进档考生专业的安排不设置专业分数级差，按专业志愿顺序依次录取，同一专业志愿按照考生的考分高低依次录取；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对所有专业志愿均不能满足，但服从专业调剂的考生，学校根据具体情况调剂。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进档考生在录取期间无正当理由的退档申请，学院不予受理。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学院执行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年贵州省招生主管部门对考生的加分政策。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各专业外语语种不限，但新生入学后公共外语为英语，请非英语语种考生谨慎报考。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学院的学费、住宿费等收费严格按照省级价格主管部门登记的项目及标准执行。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奖学金及贫困生资助体系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学院对贫困生通过国家奖学金、国家励志奖学金、国家助学金、生源地信用助学贷款、勤工助学、社会专项资助基金等进行资助，建档立卡贫困户按照国家政策进行资助。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学历证书发放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学生在规定的年限内，修完人才培养方案规定的内容，达到毕业要求，颁发经教育部学籍、学历电子注册的贵州应用技术职业学院毕业证书，并以此具印。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本章程是我院普通专科招生工作的基本依据，由学院招生处负责解释，本章程自公布之日起施行。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咨询地址：贵州福泉金鸡山东路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550500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联系部门：贵州应用技术职业学院招生就业处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0854-7012345  7025555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传真号码：</w:t>
      </w:r>
      <w:r>
        <w:rPr>
          <w:rFonts w:ascii="Times New Roman" w:eastAsia="Times New Roman" w:hAnsi="Times New Roman" w:cs="Times New Roman"/>
        </w:rPr>
        <w:t xml:space="preserve">0854-7017778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录取结果公布渠道：录取结果在我院招生网站上予以公布。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网址</w:t>
      </w:r>
      <w:r>
        <w:rPr>
          <w:rFonts w:ascii="Times New Roman" w:eastAsia="Times New Roman" w:hAnsi="Times New Roman" w:cs="Times New Roman"/>
        </w:rPr>
        <w:t xml:space="preserve">:http://www.gzyyxy.com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贵州应用技术职业学院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贵州食品工程职业学院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26.html" TargetMode="External" /><Relationship Id="rId5" Type="http://schemas.openxmlformats.org/officeDocument/2006/relationships/hyperlink" Target="http://www.gk114.com/a/gxzs/zszc/guizhou/2020/0628/17128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