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贵州盛华职业学院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特制定贵州盛华职业学院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本章程适用于我校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年普通高等教育的高职（专科）层次招生工作。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学校全称：贵州盛华职业学院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学校性质：民办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</w:t>
      </w:r>
      <w:r>
        <w:rPr>
          <w:rFonts w:ascii="SimSun" w:eastAsia="SimSun" w:hAnsi="SimSun" w:cs="SimSun"/>
        </w:rPr>
        <w:t>学校地址：贵州省惠水县百鸟河数字小镇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贵州盛华职业学院是华人商界领袖，台湾爱国企业家王雪红、陈文琦夫妇捐资举办的一所非营利性公益慈善大学，国家计划内统一招生的全日制普通高等职业院校。学校坚持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公益兴学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教育扶贫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的办学宗旨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SimSun" w:eastAsia="SimSun" w:hAnsi="SimSun" w:cs="SimSun"/>
        </w:rPr>
        <w:t>以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诚信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爱心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高尚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为树人根本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以促进就业为导向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创新开展校企深度融合、产教一体化等教学模式，走在了现代职业教育改革的最前沿，被贵州省教育厅批准成为全省唯一的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现代职业教育改革创新试点院校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，是贵州省优质高职院校立项建设单位。获国家级教育教学成果二等奖一项，省级职业教育教学成果一等奖三项。第五届中国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互联网</w:t>
      </w:r>
      <w:r>
        <w:rPr>
          <w:rFonts w:ascii="Times New Roman" w:eastAsia="Times New Roman" w:hAnsi="Times New Roman" w:cs="Times New Roman"/>
        </w:rPr>
        <w:t>+”</w:t>
      </w:r>
      <w:r>
        <w:rPr>
          <w:rFonts w:ascii="SimSun" w:eastAsia="SimSun" w:hAnsi="SimSun" w:cs="SimSun"/>
        </w:rPr>
        <w:t>大学生创新创业大赛，获国家总决赛银奖一项、铜奖一项，省级赛区金奖二项。全国政协主席汪洋（时任国务院副总理）于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月到学校调研时指出：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贵州盛华职业学院能够紧紧围绕贵州进行教育贫困帮扶，这件事值得鼓励。</w:t>
      </w:r>
      <w:r>
        <w:rPr>
          <w:rFonts w:ascii="Times New Roman" w:eastAsia="Times New Roman" w:hAnsi="Times New Roman" w:cs="Times New Roman"/>
        </w:rPr>
        <w:t xml:space="preserve">”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分专业招生人数及有关说明，详见各省（区、市）招生主管部门公布的招生计划。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学校招生录取工作严格按照教育部及各省有关政策执行，贯彻实施高校招生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，公平、公正、公开择优录取。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学校提档比例不超过招生计划的</w:t>
      </w:r>
      <w:r>
        <w:rPr>
          <w:rFonts w:ascii="Times New Roman" w:eastAsia="Times New Roman" w:hAnsi="Times New Roman" w:cs="Times New Roman"/>
        </w:rPr>
        <w:t>120%</w:t>
      </w:r>
      <w:r>
        <w:rPr>
          <w:rFonts w:ascii="SimSun" w:eastAsia="SimSun" w:hAnsi="SimSun" w:cs="SimSun"/>
        </w:rPr>
        <w:t>，录取按照志愿优先的原则，从高分到低分录取第一志愿考生，未达到招生计划时，可继续依次录取后续志愿考生。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严格执行《普通高等学校招生体检工作指导意见》及相关补充规定。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校根据高考成绩、专业志愿、考生综合素质、身体健康状况等实行择优录取。所有专业志愿都无法满足的，如服从专业调剂，将由学校根据考生分数和各专业具体情况调剂到相应专业。高考成绩无法满足所填报的专业志愿，且不服从调剂的，则按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执行各省（区、市）招生主管部门有关加分或降分投档政策，录取专业时以总成绩为准。往届生与应届生一视同仁，无男女性别比例限制。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凡报考我校各类专业的考生要求语种为英语。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严格按照贵州省物价主管部门登记、学校公示后的项目及标准执行。学校现有专业的学费均为</w:t>
      </w:r>
      <w:r>
        <w:rPr>
          <w:rFonts w:ascii="Times New Roman" w:eastAsia="Times New Roman" w:hAnsi="Times New Roman" w:cs="Times New Roman"/>
        </w:rPr>
        <w:t>6500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奖助政策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精准扶贫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新生奖学金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建档立卡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贫困户子女可享受三年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零学费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就读（政府给予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年学费补助，学校给予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年学费奖励），需按学年申请、审核，审核通过后方可享受。在校期间，出现违法违纪记录、不及格记录者取消学校学费补助资格；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农村户籍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考生给予新生奖学金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城镇户籍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考生高考总分在</w:t>
      </w:r>
      <w:r>
        <w:rPr>
          <w:rFonts w:ascii="Times New Roman" w:eastAsia="Times New Roman" w:hAnsi="Times New Roman" w:cs="Times New Roman"/>
        </w:rPr>
        <w:t>300</w:t>
      </w:r>
      <w:r>
        <w:rPr>
          <w:rFonts w:ascii="SimSun" w:eastAsia="SimSun" w:hAnsi="SimSun" w:cs="SimSun"/>
        </w:rPr>
        <w:t>分及以上的给予新生奖学金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、凡是援鄂医务人员子女被我校录取的学生三年全免学费，另每年资助</w:t>
      </w:r>
      <w:r>
        <w:rPr>
          <w:rFonts w:ascii="Times New Roman" w:eastAsia="Times New Roman" w:hAnsi="Times New Roman" w:cs="Times New Roman"/>
        </w:rPr>
        <w:t>2000</w:t>
      </w:r>
      <w:r>
        <w:rPr>
          <w:rFonts w:ascii="SimSun" w:eastAsia="SimSun" w:hAnsi="SimSun" w:cs="SimSun"/>
        </w:rPr>
        <w:t>元奖助学金；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、考生户籍类型以高考录取系统中的数据为准；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、同时满足新生奖学金中两项，只能按最高项给予奖励，不得重复享有。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国家奖助学金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在校生可申请国家奖学金</w:t>
      </w:r>
      <w:r>
        <w:rPr>
          <w:rFonts w:ascii="Times New Roman" w:eastAsia="Times New Roman" w:hAnsi="Times New Roman" w:cs="Times New Roman"/>
        </w:rPr>
        <w:t>8000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年、国家励志奖学金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年、国家助学金</w:t>
      </w:r>
      <w:r>
        <w:rPr>
          <w:rFonts w:ascii="Times New Roman" w:eastAsia="Times New Roman" w:hAnsi="Times New Roman" w:cs="Times New Roman"/>
        </w:rPr>
        <w:t>2500—3500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“</w:t>
      </w:r>
      <w:r>
        <w:rPr>
          <w:rFonts w:ascii="SimSun" w:eastAsia="SimSun" w:hAnsi="SimSun" w:cs="SimSun"/>
        </w:rPr>
        <w:t>爱心帮扶基金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及其他措施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、学校筹集资金设立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爱心帮扶基金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，家庭经济困难学生可无条件申请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元帮扶基金（两次发放）。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、学校每年有大批爱心人士捐赠，帮助部分特困生解决学费和生活费。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、学校专设勤工助学岗位，帮助家庭经济困难学生完成学业。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、对盲人学生实行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三免三提供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的助学方式，即免学费、书费、住宿费，提供生活费、学习用品、每年寒暑假往返家庭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元以内的交通费。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学历证书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学生在规定的年限内，修完教学计划规定的内容，达到毕业要求，发放经教育部学籍、学历电子注册的贵州盛华职业学院全日制专科毕业证书，并以此具印。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本章程由贵州盛华职业学院负责解释。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联系人：王老师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0854-6323333  6323033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0854-6220002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http://www.forerunnercollege.com/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</w:t>
      </w:r>
      <w:r>
        <w:rPr>
          <w:rFonts w:ascii="Times New Roman" w:eastAsia="Times New Roman" w:hAnsi="Times New Roman" w:cs="Times New Roman"/>
        </w:rPr>
        <w:t xml:space="preserve"> Q Q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800121578                                         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详细地址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SimSun" w:eastAsia="SimSun" w:hAnsi="SimSun" w:cs="SimSun"/>
        </w:rPr>
        <w:t>贵州省惠水县百鸟河数字小镇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55060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铜仁幼儿师范高等专科学校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贵阳职业技术学院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贵州轻工职业技术学院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52.html" TargetMode="External" /><Relationship Id="rId13" Type="http://schemas.openxmlformats.org/officeDocument/2006/relationships/hyperlink" Target="http://www.gk114.com/a/gxzs/zszc/guizhou/2020/0628/17151.html" TargetMode="External" /><Relationship Id="rId14" Type="http://schemas.openxmlformats.org/officeDocument/2006/relationships/hyperlink" Target="http://www.gk114.com/a/gxzs/zszc/guizhou/2020/0628/17150.html" TargetMode="External" /><Relationship Id="rId15" Type="http://schemas.openxmlformats.org/officeDocument/2006/relationships/hyperlink" Target="http://www.gk114.com/a/gxzs/zszc/guizhou/2020/0628/17149.html" TargetMode="External" /><Relationship Id="rId16" Type="http://schemas.openxmlformats.org/officeDocument/2006/relationships/hyperlink" Target="http://www.gk114.com/a/gxzs/zszc/guizhou/2020/0628/17148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092.html" TargetMode="External" /><Relationship Id="rId5" Type="http://schemas.openxmlformats.org/officeDocument/2006/relationships/hyperlink" Target="http://www.gk114.com/a/gxzs/zszc/guizhou/2020/0628/17094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