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贵州财经大学招生章程（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贵州财经大学是一所贵州省人民政府举办，以经济学、管理学学科为主体，文学、法学、理学、工学、教育学、艺术学等学科协调发展的财经类大学，在教育部本科教学工作水平评估中获得</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4152010671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学校地址：贵州省贵阳市花溪大学城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招生计划及分配。以贵州省教育厅下达，各省考试院核准公布的为准。学校</w:t>
      </w:r>
      <w:r>
        <w:rPr>
          <w:rFonts w:ascii="Times New Roman" w:eastAsia="Times New Roman" w:hAnsi="Times New Roman" w:cs="Times New Roman"/>
        </w:rPr>
        <w:t>2019</w:t>
      </w:r>
      <w:r>
        <w:rPr>
          <w:rFonts w:ascii="SimSun" w:eastAsia="SimSun" w:hAnsi="SimSun" w:cs="SimSun"/>
        </w:rPr>
        <w:t>年无预留计划。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招生批次和专业。</w:t>
      </w:r>
      <w:r>
        <w:rPr>
          <w:rFonts w:ascii="Times New Roman" w:eastAsia="Times New Roman" w:hAnsi="Times New Roman" w:cs="Times New Roman"/>
        </w:rPr>
        <w:t>2019</w:t>
      </w:r>
      <w:r>
        <w:rPr>
          <w:rFonts w:ascii="SimSun" w:eastAsia="SimSun" w:hAnsi="SimSun" w:cs="SimSun"/>
        </w:rPr>
        <w:t>年贵州财经大学经济学类、公共管理类、中国语言文学学类、财政学类、投资学、审计学、法学类、大数据管理与应用、数学与应用数学在贵州省本科一批次招生，省外本科二批次招生；其余大类和专业在本科二批次招生。具体大类及包含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本科一批次（按大类招生）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经济学类（经济学院）：含经济学、资源与环境经济学等专业；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公共管理类（公管学院）：含行政管理、公共事业管理、劳动与社会保障、农林经济管理、土地资源管理、农村区域发展、应用心理学、教育学、社会工作等专业；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中国语言文学类（文法学院）：含汉语言文学、汉语国际教育、广告学、传播学、网络与新媒体等专业；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投资学（大数据应用与经济学院）：含投资学、保险学、金融工程等专业；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财政学类（大数据应用与经济学院）：含财政学、税收学、国际经济与贸易等专业；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法学类（文法学院）：含法学等专业。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本科二批次（按大类招生）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金融学类（大数据应用与经济学院）：含金融学等专业</w:t>
      </w:r>
      <w:r>
        <w:rPr>
          <w:rFonts w:ascii="Times New Roman" w:eastAsia="Times New Roman" w:hAnsi="Times New Roman" w:cs="Times New Roman"/>
        </w:rPr>
        <w:t>,</w:t>
      </w:r>
      <w:r>
        <w:rPr>
          <w:rFonts w:ascii="SimSun" w:eastAsia="SimSun" w:hAnsi="SimSun" w:cs="SimSun"/>
        </w:rPr>
        <w:t>参加金融学院大类分流；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工商管理类（工商学院）：含工商管理、人力资源管理、市场营销、物流管理、旅游管理、酒店管理等专业；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财务管理（会计学院）：含会计学、财务管理等专业；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管理科学与工程类（管科学院）：含管理科学、工程管理、城市管理、房地产开发与管理、人文地理与城乡规划等专业；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计算机类（信息学院）：含计算机科学与技术、软件工程、网络工程、信息管理与信息系统、电子商务、数据科学与大数据技术、数字媒体技术等专业；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统计学类（数统学院）：含统计学、经济统计学、金融数学等专业。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以上大类采取</w:t>
      </w:r>
      <w:r>
        <w:rPr>
          <w:rFonts w:ascii="Times New Roman" w:eastAsia="Times New Roman" w:hAnsi="Times New Roman" w:cs="Times New Roman"/>
        </w:rPr>
        <w:t>“</w:t>
      </w:r>
      <w:r>
        <w:rPr>
          <w:rFonts w:ascii="SimSun" w:eastAsia="SimSun" w:hAnsi="SimSun" w:cs="SimSun"/>
        </w:rPr>
        <w:t>按大类招生，分流培养</w:t>
      </w:r>
      <w:r>
        <w:rPr>
          <w:rFonts w:ascii="Times New Roman" w:eastAsia="Times New Roman" w:hAnsi="Times New Roman" w:cs="Times New Roman"/>
        </w:rPr>
        <w:t>”</w:t>
      </w:r>
      <w:r>
        <w:rPr>
          <w:rFonts w:ascii="SimSun" w:eastAsia="SimSun" w:hAnsi="SimSun" w:cs="SimSun"/>
        </w:rPr>
        <w:t>的模式进行。（详情参见贵州财经大学本科招生网《关于印发贵州财经大学大类招生分流培养实施方案》的通知》）。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本科一批次（按专业招生，不参加大类分流）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审计学（会计学院）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大数据管理与应用（大数据统计学院）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数学与应用数学（数统学院）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本科二批次（按专业招生，不参加大类分流）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商务英语、日语、翻译、西班牙语、音乐学、舞蹈学、环境设计、艺术管理。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中外合作办学项目金融类（金融学专业，与英国爱丁堡龙比亚大学合作）、电子商务类（电子商务专业，与美国马歇尔大学合作）；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贵州财经大学西密歇根学院三个专业：工商管理类（会计学）、工商管理类（财务管理）、工商管理类（市场营销）；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国际本科学术互认课程</w:t>
      </w:r>
      <w:r>
        <w:rPr>
          <w:rFonts w:ascii="Times New Roman" w:eastAsia="Times New Roman" w:hAnsi="Times New Roman" w:cs="Times New Roman"/>
        </w:rPr>
        <w:t>”</w:t>
      </w:r>
      <w:r>
        <w:rPr>
          <w:rFonts w:ascii="SimSun" w:eastAsia="SimSun" w:hAnsi="SimSun" w:cs="SimSun"/>
        </w:rPr>
        <w:t>项目四个专业：会计学、市场营销、工程管理、国际商务。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2019</w:t>
      </w:r>
      <w:r>
        <w:rPr>
          <w:rFonts w:ascii="SimSun" w:eastAsia="SimSun" w:hAnsi="SimSun" w:cs="SimSun"/>
        </w:rPr>
        <w:t>年普通本科在花溪校区报到学习；中外合作办学本科、</w:t>
      </w:r>
      <w:r>
        <w:rPr>
          <w:rFonts w:ascii="Times New Roman" w:eastAsia="Times New Roman" w:hAnsi="Times New Roman" w:cs="Times New Roman"/>
        </w:rPr>
        <w:t>“</w:t>
      </w:r>
      <w:r>
        <w:rPr>
          <w:rFonts w:ascii="SimSun" w:eastAsia="SimSun" w:hAnsi="SimSun" w:cs="SimSun"/>
        </w:rPr>
        <w:t>国际本科学术互认课程</w:t>
      </w:r>
      <w:r>
        <w:rPr>
          <w:rFonts w:ascii="Times New Roman" w:eastAsia="Times New Roman" w:hAnsi="Times New Roman" w:cs="Times New Roman"/>
        </w:rPr>
        <w:t>”</w:t>
      </w:r>
      <w:r>
        <w:rPr>
          <w:rFonts w:ascii="SimSun" w:eastAsia="SimSun" w:hAnsi="SimSun" w:cs="SimSun"/>
        </w:rPr>
        <w:t>项目班新生在鹿冲关校区报到学习。金融学类专业新生前</w:t>
      </w:r>
      <w:r>
        <w:rPr>
          <w:rFonts w:ascii="Times New Roman" w:eastAsia="Times New Roman" w:hAnsi="Times New Roman" w:cs="Times New Roman"/>
        </w:rPr>
        <w:t>3</w:t>
      </w:r>
      <w:r>
        <w:rPr>
          <w:rFonts w:ascii="SimSun" w:eastAsia="SimSun" w:hAnsi="SimSun" w:cs="SimSun"/>
        </w:rPr>
        <w:t>学期在花溪校区报到学习，分流之后部分学生到鹿冲关校区报到学习。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、相关科目成绩要求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报考商务英语专业、翻译专业、日语专业、西班牙语专业的考生，英语单科成绩要求达到当地英语单科满分值的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），且须参加英语口试。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报考中外合作办学项目金融学类（金融学专业</w:t>
      </w:r>
      <w:r>
        <w:rPr>
          <w:rFonts w:ascii="Times New Roman" w:eastAsia="Times New Roman" w:hAnsi="Times New Roman" w:cs="Times New Roman"/>
        </w:rPr>
        <w:t>,</w:t>
      </w:r>
      <w:r>
        <w:rPr>
          <w:rFonts w:ascii="SimSun" w:eastAsia="SimSun" w:hAnsi="SimSun" w:cs="SimSun"/>
        </w:rPr>
        <w:t>与爱丁堡龙比亚大学合作）、电子商务类（电子商务专业</w:t>
      </w:r>
      <w:r>
        <w:rPr>
          <w:rFonts w:ascii="Times New Roman" w:eastAsia="Times New Roman" w:hAnsi="Times New Roman" w:cs="Times New Roman"/>
        </w:rPr>
        <w:t>,</w:t>
      </w:r>
      <w:r>
        <w:rPr>
          <w:rFonts w:ascii="SimSun" w:eastAsia="SimSun" w:hAnsi="SimSun" w:cs="SimSun"/>
        </w:rPr>
        <w:t>与马歇尔大学合作）的考生，英语单科成绩要求达到当地英语单科满分值的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报考中外合作办学非独立法人机构贵州财经大学西密歇根学院工商管理类（会计学专业）、工商管理类（财务管理专业）、工商管理类（市场营销专业）的考生，英语单科成绩要求达到当地英语单科满分值的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报考数学与应用数学专业和统计学类（统计学、经济统计学、金融数学）专业的考生，数学单科成绩要求达到当地数学单科满分值的</w:t>
      </w:r>
      <w:r>
        <w:rPr>
          <w:rFonts w:ascii="Times New Roman" w:eastAsia="Times New Roman" w:hAnsi="Times New Roman" w:cs="Times New Roman"/>
        </w:rPr>
        <w:t>50%</w:t>
      </w:r>
      <w:r>
        <w:rPr>
          <w:rFonts w:ascii="SimSun" w:eastAsia="SimSun" w:hAnsi="SimSun" w:cs="SimSun"/>
        </w:rPr>
        <w:t>以上（含</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、根据我校专业培养要求和教学计划，考生入学后的外语课程为英语。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、我校各专业录取对考生身体健康状况的要求，按照教育部、卫生部、中国残疾人联合会颁布的《普通高等学校招生体检工作指导意见》和有关补充规定执行。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普通本科专业与中外合作办学本科专业分别采用不同的省内学校代码。中外合作办学本科专业只录取填报我校中外合作办学省内学校代码下有专业志愿的考生。填报有中外合作办学本科专业志愿且服从专业调剂的考生，仅在中外合作办学省内学校代码下所有的招生专业范围内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）考生须获得艺术类（非师范类）专业省级统考成绩合格。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学、舞蹈学、环境设计专业考生取得专业统考合格，文化课成绩达到当地一般本科艺术类（非师范类）最低录取投档线，按专业成绩从高到低顺序择优录取。考生专业成绩相同时，优先录取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）艺术管理专业考生需取得音乐专业统考合格，文化课成绩达到当地普通本科二批次提档线的</w:t>
      </w:r>
      <w:r>
        <w:rPr>
          <w:rFonts w:ascii="Times New Roman" w:eastAsia="Times New Roman" w:hAnsi="Times New Roman" w:cs="Times New Roman"/>
        </w:rPr>
        <w:t>90%</w:t>
      </w:r>
      <w:r>
        <w:rPr>
          <w:rFonts w:ascii="SimSun" w:eastAsia="SimSun" w:hAnsi="SimSun" w:cs="SimSun"/>
        </w:rPr>
        <w:t>（含</w:t>
      </w:r>
      <w:r>
        <w:rPr>
          <w:rFonts w:ascii="Times New Roman" w:eastAsia="Times New Roman" w:hAnsi="Times New Roman" w:cs="Times New Roman"/>
        </w:rPr>
        <w:t>90%</w:t>
      </w:r>
      <w:r>
        <w:rPr>
          <w:rFonts w:ascii="SimSun" w:eastAsia="SimSun" w:hAnsi="SimSun" w:cs="SimSun"/>
        </w:rPr>
        <w:t>），按文化课成绩从高到低顺序择优录取。考生文化课成绩相同时，优先录取专业成绩较高的考生。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的录取体制，在各省（直辖市、自治区）招生委员会统一组织下进行录取。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、按照理工类、文史类分类录取。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、录取批次为各省（直辖市、自治区）提前批次、第一批本科、第二批本科批次。最低录取投档分数线执行各省（直辖市、自治区）划定的提前批次、一般本科录取投档线。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、投档比例按照各省（直辖市、自治区）规定的投档比例执行。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、我校不设置非第一志愿（平行投档）分数级差，录取按照分数优先方式，依次录取。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、我校对进档考生专业的安排不设置专业分数级差，专业志愿录取以分数优先为原则，即先按高分到低分排队，依次按照考生填报的专业志愿顺序录取。同分按照考生所报专业体检是否受限及综合素质进行排序。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总分相同时，商务英语专业、翻译专业、日语专业、西班牙语专业及中外合作办学本科专业优先录取英语单科成绩高的考生，如果英语单科成绩仍相同，优先录取数学单科成绩高的考生。其他专业优先录取数学单科成绩高的考生，如果数学单科成绩仍相同，优先录取英语单科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、对所有专业志愿均不能满足，但服从专业调剂的考生，将根据考生投档分数从高到低调剂到招生计划尚未完成的专业；对所有专业志愿均不能满足，且不服从专业调剂的考生，予以退档。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、西密歇根学院工商管理类（中外合作办学，会计学专业），工商管理类（中外合作办学，财务管理专业），工商管理类（中外合作办学，市场营销专业）</w:t>
      </w:r>
      <w:r>
        <w:rPr>
          <w:rFonts w:ascii="Times New Roman" w:eastAsia="Times New Roman" w:hAnsi="Times New Roman" w:cs="Times New Roman"/>
        </w:rPr>
        <w:t>3</w:t>
      </w:r>
      <w:r>
        <w:rPr>
          <w:rFonts w:ascii="SimSun" w:eastAsia="SimSun" w:hAnsi="SimSun" w:cs="SimSun"/>
        </w:rPr>
        <w:t>个专业仅招收有专业志愿的考生。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、进档考生在录取期间无正当理由的退档申请，学校不予受理。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、在录取中执行教育部及各省（直辖市、自治区）招生委员会制定的各项加分政策。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新生入学后，学校原则上在三个月内按照国家招生规定对其进行复查。复查合格者予以注册，取得学籍。复查不合格者，由学校区别情况，予以处理，直至取消入学资格。经查实属弄虚作假、徇私舞弊取得学籍者，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本科学生在规定修业年限内修完教学计划规定的内容，达到毕业要求，颁发国家承认学历、经教育部电子注册的贵州财经大学本科学历证书；并以此名称具印，符合学士学位授予条件的，授予贵州财经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、国际合作项目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贵州财经大学西密歇根学院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颁发证书：符合贵州财经大学本科毕业条件的西密歇根学院学生，颁发国家承认学历、经教育部电子注册的贵州财经大学本科毕业证书；符合贵州财经大学学位授予条件的学生，颁发贵州财经大学学士学位证书。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符合美国西密歇根大学学位授予条件的学生，颁发国家承认、教育部承认的美国西密歇根大学学位证书。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美国西密歇根大学学位证书颁发条件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）注册为美国西密歇根大学学生，注册标准以开学后公布为准。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）英语语言能力标准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托福网考</w:t>
      </w:r>
      <w:r>
        <w:rPr>
          <w:rFonts w:ascii="Times New Roman" w:eastAsia="Times New Roman" w:hAnsi="Times New Roman" w:cs="Times New Roman"/>
        </w:rPr>
        <w:t>61</w:t>
      </w:r>
      <w:r>
        <w:rPr>
          <w:rFonts w:ascii="SimSun" w:eastAsia="SimSun" w:hAnsi="SimSun" w:cs="SimSun"/>
        </w:rPr>
        <w:t>分（含）以上，或雅思</w:t>
      </w:r>
      <w:r>
        <w:rPr>
          <w:rFonts w:ascii="Times New Roman" w:eastAsia="Times New Roman" w:hAnsi="Times New Roman" w:cs="Times New Roman"/>
        </w:rPr>
        <w:t>6.0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）学术标准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课程平均绩点达到</w:t>
      </w:r>
      <w:r>
        <w:rPr>
          <w:rFonts w:ascii="Times New Roman" w:eastAsia="Times New Roman" w:hAnsi="Times New Roman" w:cs="Times New Roman"/>
        </w:rPr>
        <w:t>2.0</w:t>
      </w:r>
      <w:r>
        <w:rPr>
          <w:rFonts w:ascii="SimSun" w:eastAsia="SimSun" w:hAnsi="SimSun" w:cs="SimSun"/>
        </w:rPr>
        <w:t>（含）以上；专业单科成绩</w:t>
      </w:r>
      <w:r>
        <w:rPr>
          <w:rFonts w:ascii="Times New Roman" w:eastAsia="Times New Roman" w:hAnsi="Times New Roman" w:cs="Times New Roman"/>
        </w:rPr>
        <w:t>70</w:t>
      </w:r>
      <w:r>
        <w:rPr>
          <w:rFonts w:ascii="SimSun" w:eastAsia="SimSun" w:hAnsi="SimSun" w:cs="SimSun"/>
        </w:rPr>
        <w:t>分（含）以上，具体专业成绩要求见西密歇根学院学生培养方案。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贵州财经大学与英国爱丁堡龙比亚大学合作举办金融学专业本科教育项目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开设专业：金融学类（中外合作办学，金融学专业）。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符合贵州财经大学本科毕业条件的学生，颁发国家承认学历、经教育部电子注册的贵州财经大学本科毕业证书，符合贵州财经大学学位授予条件的学生，颁发贵州财经大学经济学学士学位证书。达到国外大学入学相关要求，第四年进入爱丁堡龙比亚大学学习，并符合爱丁堡龙比亚大学学位授予条件的学生，颁发国家承认的、经教育部电子注册的爱丁堡龙比亚大学金融服务专业文学学士学位证书（</w:t>
      </w:r>
      <w:r>
        <w:rPr>
          <w:rFonts w:ascii="Times New Roman" w:eastAsia="Times New Roman" w:hAnsi="Times New Roman" w:cs="Times New Roman"/>
        </w:rPr>
        <w:t>Bachelor of Arts in Financial Services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贵州财经大学与美国马歇尔大学合作举办电子商务专业本科教育项目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开设专业：电子商务类（中外合作办学，电子商务专业）。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证书：符合贵州财经大学本科毕业条件的学生，颁发国家承认学历、经教育部电子注册的贵州财经大学本科毕业证书，符合贵州财经大学学位授予条件的学生，颁发贵州财经大学管理学学士学位证书。达到国外大学入学相关要求，第四年进入马歇尔大学学习，并符合马歇尔大学学位授予条件的学生，颁发国家承认的、经教育部电子注册的工商管理学士学位证书（</w:t>
      </w:r>
      <w:r>
        <w:rPr>
          <w:rFonts w:ascii="Times New Roman" w:eastAsia="Times New Roman" w:hAnsi="Times New Roman" w:cs="Times New Roman"/>
        </w:rPr>
        <w:t>Bachelor of Business Administration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国际本科学术互认课程项目（</w:t>
      </w:r>
      <w:r>
        <w:rPr>
          <w:rFonts w:ascii="Times New Roman" w:eastAsia="Times New Roman" w:hAnsi="Times New Roman" w:cs="Times New Roman"/>
        </w:rPr>
        <w:t>ISEC</w:t>
      </w:r>
      <w:r>
        <w:rPr>
          <w:rFonts w:ascii="SimSun" w:eastAsia="SimSun" w:hAnsi="SimSun" w:cs="SimSun"/>
        </w:rPr>
        <w:t>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国际本科学术互认课程</w:t>
      </w:r>
      <w:r>
        <w:rPr>
          <w:rFonts w:ascii="Times New Roman" w:eastAsia="Times New Roman" w:hAnsi="Times New Roman" w:cs="Times New Roman"/>
        </w:rPr>
        <w:t>(ISEC)”</w:t>
      </w:r>
      <w:r>
        <w:rPr>
          <w:rFonts w:ascii="SimSun" w:eastAsia="SimSun" w:hAnsi="SimSun" w:cs="SimSun"/>
        </w:rPr>
        <w:t>项目专业本科：符合贵州财经大学本科毕业条件的学生，颁发国家承认学历、经教育部电子注册的贵州财经大学本科毕业证书，符合贵州财经大学学位授予条件的学生，颁发贵州财经大学学士学位证书。高年级可进入国外大学学习，并符合国外大学学位授予条件的学生，颁发国外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严格执行物价主管部门批准的学费、住宿费等收费项目及执行标准。（详情参见学校本科招生网）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奖学金及贫困生资助体系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学校设有优秀学生奖学金、单项奖学金和专项奖学金。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学校对贫困生通过国家奖学金、国家励志奖学金、国家助学金、国家助学贷款、生源地信用助学贷款、勤工助学、学费减免、社会专项资助基金等进行资助。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w:t>
      </w:r>
      <w:r>
        <w:rPr>
          <w:rFonts w:ascii="SimSun" w:eastAsia="SimSun" w:hAnsi="SimSun" w:cs="SimSun"/>
        </w:rPr>
        <w:t>址：贵州省贵阳市花溪大学城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联系部门：贵州财经大学招生就业处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88575778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录取结果在我校招生网站上予以公布。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www.gufe.edu.cn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5.html" TargetMode="External" /><Relationship Id="rId5" Type="http://schemas.openxmlformats.org/officeDocument/2006/relationships/hyperlink" Target="http://www.gk114.com/a/gxzs/zszc/guizhou/2019/0612/974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