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一、</w:t>
      </w:r>
      <w:r>
        <w:rPr>
          <w:rFonts w:ascii="SimHei" w:eastAsia="SimHei" w:hAnsi="SimHei" w:cs="SimHei"/>
          <w:color w:val="666666"/>
          <w:sz w:val="32"/>
          <w:szCs w:val="32"/>
        </w:rPr>
        <w:t>辽宁大学</w:t>
      </w:r>
      <w:r>
        <w:rPr>
          <w:rFonts w:ascii="SimHei" w:eastAsia="SimHei" w:hAnsi="SimHei" w:cs="SimHei"/>
          <w:color w:val="666666"/>
          <w:sz w:val="32"/>
          <w:szCs w:val="32"/>
        </w:rPr>
        <w:t>自然情况说明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学校全称</w:t>
      </w:r>
      <w:r>
        <w:rPr>
          <w:rFonts w:ascii="FangSong" w:eastAsia="FangSong" w:hAnsi="FangSong" w:cs="FangSong"/>
          <w:color w:val="666666"/>
          <w:sz w:val="32"/>
          <w:szCs w:val="32"/>
        </w:rPr>
        <w:t>：辽宁大学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2.办学地点及校址：</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学校有三个校区，即沈阳崇山校区（沈阳市皇姑区崇山中路</w:t>
      </w:r>
      <w:r>
        <w:rPr>
          <w:rFonts w:ascii="FangSong" w:eastAsia="FangSong" w:hAnsi="FangSong" w:cs="FangSong"/>
          <w:color w:val="666666"/>
          <w:sz w:val="32"/>
          <w:szCs w:val="32"/>
        </w:rPr>
        <w:t>66号）、沈阳蒲河校区（沈阳市沈北新区道义南大街58号）、辽阳武圣校区（辽阳市青年大街38号）。</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理工类专业在沈阳崇山校区办学，翻译、商务英语专业在辽阳武圣校区办学，英语、日语、俄语在辽阳武圣校区、沈阳蒲河校区均有办学（以辽宁省招办公布计划时说明为准），其他专业在沈阳蒲河校区办学。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3.办学类型：普通高等学校（公办）</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4.办学层次：</w:t>
      </w:r>
      <w:r>
        <w:rPr>
          <w:rFonts w:ascii="FangSong" w:eastAsia="FangSong" w:hAnsi="FangSong" w:cs="FangSong"/>
          <w:color w:val="666666"/>
          <w:sz w:val="32"/>
          <w:szCs w:val="32"/>
        </w:rPr>
        <w:t>本科、研究生</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5.办学形式：全日制</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6.主要办学条件：校园占地面积145.9万平方米（约合2187</w:t>
      </w:r>
      <w:r>
        <w:rPr>
          <w:rFonts w:ascii="FangSong" w:eastAsia="FangSong" w:hAnsi="FangSong" w:cs="FangSong"/>
          <w:color w:val="666666"/>
          <w:sz w:val="32"/>
          <w:szCs w:val="32"/>
        </w:rPr>
        <w:t>.1</w:t>
      </w:r>
      <w:r>
        <w:rPr>
          <w:rFonts w:ascii="FangSong" w:eastAsia="FangSong" w:hAnsi="FangSong" w:cs="FangSong"/>
          <w:color w:val="666666"/>
          <w:sz w:val="32"/>
          <w:szCs w:val="32"/>
        </w:rPr>
        <w:t>亩）；生均教学行政用房面积</w:t>
      </w:r>
      <w:r>
        <w:rPr>
          <w:rFonts w:ascii="FangSong" w:eastAsia="FangSong" w:hAnsi="FangSong" w:cs="FangSong"/>
          <w:color w:val="666666"/>
          <w:sz w:val="32"/>
          <w:szCs w:val="32"/>
        </w:rPr>
        <w:t>12.4平方米；生均宿舍面积10.5平方米；生师比17.8:1；专任教师1468人，其中具有副高级职务教师占专任教师的比例为57.3%，具有研究生学位教师占专任教师的比例为84.7%；教学科研仪器设备总值25687.4万元，生均教学科研仪器设备值8478.6元；图书287.4万册，生均图书94.9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1.只招英语考生的专业：</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1）外语类专业：英语、商务英语、翻译。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2）中外合作办学专业：新华国际商学院各专业、亚澳商学院各专业。</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2.零起点教学的外语类专业：日语、俄语、德语、法语、朝鲜语。</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3.其他专业语种不限。</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4.大类培养的学生经过基础课程阶段学习后，根据成绩及志愿情况分流到专业（定向招生的学生不参加分流）。</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5.招生计划分配原则和办法。</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根据本校人才培养目标、办学条件等实际情况，统筹考虑各省（区、市）考生人数、生源质量、就业情况、区域协调发展及重点支持政策、历年计划安排等因素，确定分省招生计划。</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普通类预留计划不超过计划的</w:t>
      </w:r>
      <w:r>
        <w:rPr>
          <w:rFonts w:ascii="FangSong" w:eastAsia="FangSong" w:hAnsi="FangSong" w:cs="FangSong"/>
          <w:color w:val="666666"/>
          <w:sz w:val="32"/>
          <w:szCs w:val="32"/>
        </w:rPr>
        <w:t>1%，艺术类预留计划不超过计划的15%。使用预留招生计划，坚持集体议事、集体决策、公开透明的原则。在招生录取过程中，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w:t>
      </w:r>
      <w:r>
        <w:rPr>
          <w:rFonts w:ascii="SimHei" w:eastAsia="SimHei" w:hAnsi="SimHei" w:cs="SimHei"/>
          <w:color w:val="666666"/>
          <w:sz w:val="32"/>
          <w:szCs w:val="32"/>
        </w:rPr>
        <w:t>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24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24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70"/>
        <w:gridCol w:w="1265"/>
        <w:gridCol w:w="6305"/>
        <w:gridCol w:w="785"/>
        <w:gridCol w:w="1265"/>
        <w:gridCol w:w="1745"/>
        <w:gridCol w:w="1745"/>
        <w:gridCol w:w="654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540"/>
        </w:trPr>
        <w:tc>
          <w:tcPr>
            <w:tcW w:w="8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序号</w:t>
            </w:r>
          </w:p>
        </w:tc>
        <w:tc>
          <w:tcPr>
            <w:tcW w:w="11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专业代码</w:t>
            </w:r>
          </w:p>
        </w:tc>
        <w:tc>
          <w:tcPr>
            <w:tcW w:w="20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专业名称</w:t>
            </w:r>
          </w:p>
        </w:tc>
        <w:tc>
          <w:tcPr>
            <w:tcW w:w="7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学制</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学习年限</w:t>
            </w:r>
          </w:p>
        </w:tc>
        <w:tc>
          <w:tcPr>
            <w:tcW w:w="16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 xml:space="preserve">科 </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类</w:t>
            </w:r>
          </w:p>
        </w:tc>
        <w:tc>
          <w:tcPr>
            <w:tcW w:w="12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授予学位门类</w:t>
            </w:r>
          </w:p>
        </w:tc>
        <w:tc>
          <w:tcPr>
            <w:tcW w:w="22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学费（元/年/生）</w:t>
            </w:r>
          </w:p>
        </w:tc>
      </w:tr>
      <w:tr>
        <w:tblPrEx>
          <w:tblW w:w="14326" w:type="dxa"/>
          <w:tblInd w:w="165" w:type="dxa"/>
          <w:tblCellMar>
            <w:top w:w="15" w:type="dxa"/>
            <w:left w:w="15" w:type="dxa"/>
            <w:bottom w:w="15" w:type="dxa"/>
            <w:right w:w="15" w:type="dxa"/>
          </w:tblCellMar>
        </w:tblPrEx>
        <w:trPr>
          <w:trHeight w:val="90"/>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010101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哲学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哲学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3800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020101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020102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经济统计学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020103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国民经济管理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经济学类（经济学、经济统计学、国民经济管理）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020201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财政学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020301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金融学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0203</w:t>
            </w:r>
            <w:r>
              <w:rPr>
                <w:rFonts w:ascii="FangSong" w:eastAsia="FangSong" w:hAnsi="FangSong" w:cs="FangSong"/>
                <w:b w:val="0"/>
                <w:bCs w:val="0"/>
                <w:i w:val="0"/>
                <w:iCs w:val="0"/>
                <w:smallCaps w:val="0"/>
                <w:color w:val="666666"/>
                <w:spacing w:val="-15"/>
              </w:rPr>
              <w:t>01</w:t>
            </w:r>
            <w:r>
              <w:rPr>
                <w:rFonts w:ascii="FangSong" w:eastAsia="FangSong" w:hAnsi="FangSong" w:cs="FangSong"/>
                <w:b w:val="0"/>
                <w:bCs w:val="0"/>
                <w:i w:val="0"/>
                <w:iCs w:val="0"/>
                <w:smallCaps w:val="0"/>
                <w:color w:val="666666"/>
                <w:spacing w:val="-15"/>
              </w:rPr>
              <w:t>H</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金融学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3-10年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亚澳商学院一、二年级33000元/年，三、四年级38000元/年</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9</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020303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保险学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金融学类（金融学、保险学）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020401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国际经济与贸易</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经济学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030101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法学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法学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030101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法学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第二学士学位</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法学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030202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国际政治</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法学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050101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汉语言文学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3800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16</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050102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汉语言</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17</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050103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汉语国际教育</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3800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18</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英语</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19</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俄语</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德语</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050204</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法语</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050207</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日语</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31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050209</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朝鲜语</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050261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翻译</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050262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商务英语</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26</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050301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新闻学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27</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050302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广播电视学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28</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050303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广告学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90"/>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29</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050305</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编辑出版学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050306</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网络与新媒体</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060101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历史学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历史学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3800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060103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考古学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历史学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070101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数学与应用数学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070102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信息与计算科学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070201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物理学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36</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070202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应用物理学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物理学类（物理学、应用物理学）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38</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070301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化学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39</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070302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应用化学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化学类（化学、应用化学）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071001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生物科学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071002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生物技术</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071004</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生态学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080301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测控技术与仪器</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080403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材料化学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080406</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无机非金属材料工程</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47</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080601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电气工程及其自动化</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080702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电子科学与技术</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49</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080703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通信工程</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080714</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电子信息科学与技术</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0807</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电子信息类（电子信息科学与技术、通信工程）</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5200,待分流确定转业后按实际情况收费，多收学费退回。</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080901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计算机科学与技术</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080902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软件工程</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080910</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数据科学与大数据技术</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0809</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计算机类（计算机科学与技术、数据科学与大数据技术）</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5200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56</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w:t>
            </w:r>
            <w:r>
              <w:rPr>
                <w:rFonts w:ascii="FangSong" w:eastAsia="FangSong" w:hAnsi="FangSong" w:cs="FangSong"/>
                <w:b w:val="0"/>
                <w:bCs w:val="0"/>
                <w:i w:val="0"/>
                <w:iCs w:val="0"/>
                <w:smallCaps w:val="0"/>
                <w:color w:val="666666"/>
                <w:spacing w:val="-15"/>
              </w:rPr>
              <w:t>81302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制药工程</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57</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082502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环境工程</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58</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082503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环境科学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59</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082504</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环境生态工程</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082701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食品科学与工程</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120103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工程管理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工商管理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工商管理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第二学士学位</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120201H</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工商管理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新华国际商学院38000元/年</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市场营销</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66</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120202H</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市场营销</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新华国际商学院38000元/年</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67</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工商管理类（工商管理、市场营销、人力资源管理）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68</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会计学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69</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120203H</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会计学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3-10年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亚澳商学院一、二年级33000元/年，三、四年级38000元/年</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120203H</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会计学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新华国际商学院38000元/年</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120205H</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国际商务</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3-10年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亚澳商学院一、二年级33000元/年，三、四年级38000元/年</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120206</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人力资源管理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120402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行政管理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120403</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劳动与社会保障</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120502</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档案学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76</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120901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旅游管理</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77</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130201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音乐表演</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11500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78</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130205</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舞蹈学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11500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79</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130301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表演</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15000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130304</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戏剧影视文学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15000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81</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130305</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广播电视编导</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82</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130306</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戏剧影视导演</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15000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83</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130309</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播音与主持艺术</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84</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130404</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摄影</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6" w:type="dxa"/>
          <w:tblInd w:w="165" w:type="dxa"/>
          <w:tblCellMar>
            <w:top w:w="15" w:type="dxa"/>
            <w:left w:w="15" w:type="dxa"/>
            <w:bottom w:w="15" w:type="dxa"/>
            <w:right w:w="15"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85</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130501</w:t>
            </w:r>
          </w:p>
        </w:tc>
        <w:tc>
          <w:tcPr>
            <w:tcW w:w="20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艺术设计学</w:t>
            </w:r>
          </w:p>
        </w:tc>
        <w:tc>
          <w:tcPr>
            <w:tcW w:w="7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3-7年</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艺术学</w:t>
            </w:r>
          </w:p>
        </w:tc>
        <w:tc>
          <w:tcPr>
            <w:tcW w:w="22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本科学生学习期满，成绩合格颁发辽宁大学普通高等学校本科毕业证书，达到辽宁大学学位授予标准的颁发辽宁大学学士学位证书。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w:t>
      </w:r>
      <w:r>
        <w:rPr>
          <w:rFonts w:ascii="SimHei" w:eastAsia="SimHei" w:hAnsi="SimHei" w:cs="SimHei"/>
          <w:color w:val="666666"/>
          <w:sz w:val="32"/>
          <w:szCs w:val="32"/>
        </w:rPr>
        <w:t>收费情况说明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1.学费和住宿费的收取标准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按照省物价部门批准的标准向学生收费。本科专业实行学分制收费，学费按学年预收</w:t>
      </w:r>
      <w:r>
        <w:rPr>
          <w:rFonts w:ascii="FangSong" w:eastAsia="FangSong" w:hAnsi="FangSong" w:cs="FangSong"/>
          <w:color w:val="666666"/>
          <w:sz w:val="32"/>
          <w:szCs w:val="32"/>
        </w:rPr>
        <w:t>，</w:t>
      </w:r>
      <w:r>
        <w:rPr>
          <w:rFonts w:ascii="FangSong" w:eastAsia="FangSong" w:hAnsi="FangSong" w:cs="FangSong"/>
          <w:color w:val="666666"/>
          <w:sz w:val="32"/>
          <w:szCs w:val="32"/>
        </w:rPr>
        <w:t>各招生专业收取学费标准详见</w:t>
      </w:r>
      <w:r>
        <w:rPr>
          <w:rFonts w:ascii="FangSong" w:eastAsia="FangSong" w:hAnsi="FangSong" w:cs="FangSong"/>
          <w:color w:val="666666"/>
          <w:sz w:val="32"/>
          <w:szCs w:val="32"/>
        </w:rPr>
        <w:t>“三、专业设置说明”，住宿费按每学年1000—1200元收取。</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2.学费和住宿费的退费办法</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学生因故退学或提前结束学业的，依据《教育部国家发展改革委财政部关于进一步规范高校教育收费管理若干规定的通知》教财</w:t>
      </w:r>
      <w:r>
        <w:rPr>
          <w:rFonts w:ascii="FangSong" w:eastAsia="FangSong" w:hAnsi="FangSong" w:cs="FangSong"/>
          <w:color w:val="666666"/>
          <w:sz w:val="32"/>
          <w:szCs w:val="32"/>
        </w:rPr>
        <w:t>[2006]2号文件的要求，学校应根据学生实际学习时间和实际住宿时间，按月计退剩余的学费和住宿费。</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3.家庭经济困难学生资助政策及有关程序</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我校设有校内、校外多项奖助学金，建立了以生源地信用助学贷款为主，奖助学金、勤工助学、困难补助、学费减免为辅的完善的学生资助体系。</w:t>
      </w:r>
    </w:p>
    <w:p>
      <w:pPr>
        <w:pBdr>
          <w:top w:val="none" w:sz="0" w:space="0" w:color="auto"/>
          <w:left w:val="none" w:sz="0" w:space="0" w:color="auto"/>
          <w:bottom w:val="none" w:sz="0" w:space="0" w:color="auto"/>
          <w:right w:val="none" w:sz="0" w:space="0" w:color="auto"/>
        </w:pBdr>
        <w:spacing w:before="0" w:after="0" w:line="600" w:lineRule="atLeast"/>
        <w:ind w:left="0" w:right="0" w:firstLine="31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1）生源地信用助学贷款。</w:t>
      </w:r>
      <w:r>
        <w:rPr>
          <w:rFonts w:ascii="FangSong" w:eastAsia="FangSong" w:hAnsi="FangSong" w:cs="FangSong"/>
          <w:color w:val="666666"/>
          <w:sz w:val="32"/>
          <w:szCs w:val="32"/>
        </w:rPr>
        <w:t>家庭经济困难学生可向户籍所在县（市、区）的学生资助管理机构咨询办理生源地信用助学贷款。</w:t>
      </w:r>
    </w:p>
    <w:p>
      <w:pPr>
        <w:pBdr>
          <w:top w:val="none" w:sz="0" w:space="0" w:color="auto"/>
          <w:left w:val="none" w:sz="0" w:space="0" w:color="auto"/>
          <w:bottom w:val="none" w:sz="0" w:space="0" w:color="auto"/>
          <w:right w:val="none" w:sz="0" w:space="0" w:color="auto"/>
        </w:pBdr>
        <w:spacing w:before="0" w:after="0" w:line="600" w:lineRule="atLeast"/>
        <w:ind w:left="0" w:right="0" w:firstLine="31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2）奖学金包括：国家奖学金8000元/年、省政府奖学金8000元/年、国家励志奖学金5000元/年；学校奖学金一等1000元/学期、二等500元/学期、三等260元/学期、单项100元/学期；企业奖学金。</w:t>
      </w:r>
    </w:p>
    <w:p>
      <w:pPr>
        <w:pBdr>
          <w:top w:val="none" w:sz="0" w:space="0" w:color="auto"/>
          <w:left w:val="none" w:sz="0" w:space="0" w:color="auto"/>
          <w:bottom w:val="none" w:sz="0" w:space="0" w:color="auto"/>
          <w:right w:val="none" w:sz="0" w:space="0" w:color="auto"/>
        </w:pBdr>
        <w:spacing w:before="0" w:after="0" w:line="600" w:lineRule="atLeast"/>
        <w:ind w:left="0" w:right="0" w:firstLine="31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3）助学金包括：国家助学金一等4000元/年、二等2500元/年；社会助学金。</w:t>
      </w:r>
    </w:p>
    <w:p>
      <w:pPr>
        <w:pBdr>
          <w:top w:val="none" w:sz="0" w:space="0" w:color="auto"/>
          <w:left w:val="none" w:sz="0" w:space="0" w:color="auto"/>
          <w:bottom w:val="none" w:sz="0" w:space="0" w:color="auto"/>
          <w:right w:val="none" w:sz="0" w:space="0" w:color="auto"/>
        </w:pBdr>
        <w:spacing w:before="0" w:after="0" w:line="600" w:lineRule="atLeast"/>
        <w:ind w:left="0" w:right="0" w:firstLine="31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4）勤工助学岗位。家庭经济困难学生入学后可以向学校申请勤工助学，学校根据需求为部分家庭经济困难学生安排勤工助学岗位。</w:t>
      </w:r>
    </w:p>
    <w:p>
      <w:pPr>
        <w:pBdr>
          <w:top w:val="none" w:sz="0" w:space="0" w:color="auto"/>
          <w:left w:val="none" w:sz="0" w:space="0" w:color="auto"/>
          <w:bottom w:val="none" w:sz="0" w:space="0" w:color="auto"/>
          <w:right w:val="none" w:sz="0" w:space="0" w:color="auto"/>
        </w:pBdr>
        <w:spacing w:before="0" w:after="0" w:line="600" w:lineRule="atLeast"/>
        <w:ind w:left="0" w:right="0" w:firstLine="31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5）困难补助。学校会根据具体情况对家庭经济困难的学生给予一定的困难补助。</w:t>
      </w:r>
    </w:p>
    <w:p>
      <w:pPr>
        <w:pBdr>
          <w:top w:val="none" w:sz="0" w:space="0" w:color="auto"/>
          <w:left w:val="none" w:sz="0" w:space="0" w:color="auto"/>
          <w:bottom w:val="none" w:sz="0" w:space="0" w:color="auto"/>
          <w:right w:val="none" w:sz="0" w:space="0" w:color="auto"/>
        </w:pBdr>
        <w:spacing w:before="0" w:after="0" w:line="600" w:lineRule="atLeast"/>
        <w:ind w:left="0" w:right="0" w:firstLine="31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6）学费减免。根据辽宁省资助工作安排，学校对孤儿采取学费、住宿费减免政策。</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学校家庭经济困难学生资助各项工作程序按照国家及辽宁省有关文件规定执行，各类奖助学金评比过程、评比结果按要求实施公示，接受师生监督。</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六、国际交流与合作方面说明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1.中外合作办学专业在本校同批次录取（按招生所在省级招生主管部门批准批次执行）。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中外合作办学各专业纳入普通高等学校招生计划招生。中外合作办学类专业的学生在结束国内阶段学习后，符合申请签证条件并且成绩符合要求者，可自愿申请办理赴国外学习。国外就读阶段学费执行国外合作学校规定标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3.中外合作办学专业学生学习期满，成绩合格颁发辽宁大学普通高等学校本科毕业证书，达到辽宁大学学位授予标准的颁发辽宁大学学士学位证书。</w:t>
      </w:r>
      <w:r>
        <w:rPr>
          <w:rFonts w:ascii="FangSong" w:eastAsia="FangSong" w:hAnsi="FangSong" w:cs="FangSong"/>
          <w:color w:val="666666"/>
          <w:sz w:val="32"/>
          <w:szCs w:val="32"/>
        </w:rPr>
        <w:t>亚澳商学院中外合作办学专业学生达到外方学位授予标准的颁发澳大利亚维多利亚大学学士学位证书。</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七、录取办法说明</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1.投档比例</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我校调档比例原则上不超过</w:t>
      </w:r>
      <w:r>
        <w:rPr>
          <w:rFonts w:ascii="FangSong" w:eastAsia="FangSong" w:hAnsi="FangSong" w:cs="FangSong"/>
          <w:color w:val="666666"/>
          <w:sz w:val="32"/>
          <w:szCs w:val="32"/>
        </w:rPr>
        <w:t>110%（艺术类专业遵照各省通用投档比例）。按照平行志愿投档的批次，调档比例原则上控制在105%以内。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2.身体健康状况要求</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按照教育部、</w:t>
      </w:r>
      <w:r>
        <w:rPr>
          <w:rFonts w:ascii="FangSong" w:eastAsia="FangSong" w:hAnsi="FangSong" w:cs="FangSong"/>
          <w:color w:val="666666"/>
          <w:sz w:val="32"/>
          <w:szCs w:val="32"/>
        </w:rPr>
        <w:t>原</w:t>
      </w:r>
      <w:r>
        <w:rPr>
          <w:rFonts w:ascii="FangSong" w:eastAsia="FangSong" w:hAnsi="FangSong" w:cs="FangSong"/>
          <w:color w:val="666666"/>
          <w:sz w:val="32"/>
          <w:szCs w:val="32"/>
        </w:rPr>
        <w:t>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3.院校志愿及录取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1）学校志愿录取按相关省市区要求执行。</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2）在提档时执行省招考委关于高考加分规定；分专业时按考生高考文化课成绩（不含加分）录取。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3）艺术类本科专业按“志愿清”原则录取，即专业志愿优先。</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4）普通类本科专业按“分数清”原则录取，即“分数优先，遵循志愿”：就是将考生按高考文化课成绩（不含加分）从高到低逐分排序，按序逐个检索和满足考生所填报的系列志愿，第一志愿额满，逐次检索其第二、第三志愿及后续志愿。</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5）报考同专业高考文化课成绩（不含加分）并列考生，录取顺序为：首先，享有省招考委认定具备加分者优先；其次，专业志愿靠前者优先；再次，具体科目分数高者优先，科目优先顺序为：①文学（不包括外国语言文学类）、历史、哲学、法学门类专业排序为语文、外语、数学；②理学、工学门类专业排序为数学、外语、语文；③经济学、管理学门类专业排序为数学、外语、语文；④外国语言文学类专业排序为外语、语文、数学；⑤中外合作办学专业排序为外语、数学、语文。</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6）中外合作办学专业英语成绩不低于英语满分的70%。</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7）中外合作办学专业只录取有专业志愿考生。</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8）江苏省普通类考生，选测科目要求等级为AB及以上，必测为4C1合格，进档后考生采用“先分数后等级”的排序方法录取。投档成绩相同的情况下，按照选测科目等级优先顺序进行录取，选测科目等级优先顺序为：“A+、A+”，“A+、A（A、A+）”，“A、A”，“A+、B+（B+、A+）”，“A+、B（B、A+）”，“A、B+（B+、A）”，“A、B（B、A）”。</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9）高考综合改革试点省市招生录取按当地政策执行。</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4.艺术类录取规则</w:t>
      </w:r>
    </w:p>
    <w:tbl>
      <w:tblPr>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730"/>
        <w:gridCol w:w="14195"/>
      </w:tblGrid>
      <w:tr>
        <w:tblPrEx>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160" w:type="dxa"/>
            <w:tcBorders>
              <w:bottom w:val="outset" w:sz="24" w:space="0" w:color="000000"/>
              <w:right w:val="outset" w:sz="24" w:space="0" w:color="000000"/>
            </w:tcBorders>
            <w:noWrap w:val="0"/>
            <w:tcMar>
              <w:top w:w="45"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专业名称</w:t>
            </w:r>
          </w:p>
        </w:tc>
        <w:tc>
          <w:tcPr>
            <w:tcW w:w="8585" w:type="dxa"/>
            <w:tcBorders>
              <w:bottom w:val="outset"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录取规则</w:t>
            </w:r>
          </w:p>
        </w:tc>
      </w:tr>
      <w:tr>
        <w:tblPrEx>
          <w:tblW w:w="14326" w:type="dxa"/>
          <w:tblInd w:w="75" w:type="dxa"/>
          <w:tblCellMar>
            <w:top w:w="15" w:type="dxa"/>
            <w:left w:w="15" w:type="dxa"/>
            <w:bottom w:w="15" w:type="dxa"/>
            <w:right w:w="15" w:type="dxa"/>
          </w:tblCellMar>
        </w:tblPrEx>
        <w:tc>
          <w:tcPr>
            <w:tcW w:w="2160" w:type="dxa"/>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音乐表演</w:t>
            </w:r>
            <w:r>
              <w:rPr>
                <w:rFonts w:ascii="SimSun" w:eastAsia="SimSun" w:hAnsi="SimSun" w:cs="SimSun"/>
                <w:b w:val="0"/>
                <w:bCs w:val="0"/>
                <w:i w:val="0"/>
                <w:iCs w:val="0"/>
                <w:smallCaps w:val="0"/>
                <w:color w:val="666666"/>
                <w:sz w:val="21"/>
                <w:szCs w:val="21"/>
              </w:rPr>
              <w:br/>
            </w:r>
            <w:r>
              <w:rPr>
                <w:rFonts w:ascii="SimSun" w:eastAsia="SimSun" w:hAnsi="SimSun" w:cs="SimSun"/>
                <w:b w:val="0"/>
                <w:bCs w:val="0"/>
                <w:i w:val="0"/>
                <w:iCs w:val="0"/>
                <w:smallCaps w:val="0"/>
                <w:color w:val="666666"/>
                <w:sz w:val="21"/>
                <w:szCs w:val="21"/>
              </w:rPr>
              <w:t>（小提琴招考方向）</w:t>
            </w:r>
          </w:p>
        </w:tc>
        <w:tc>
          <w:tcPr>
            <w:tcW w:w="8855" w:type="dxa"/>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tcW w:w="2160" w:type="dxa"/>
            <w:vMerge w:val="restart"/>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音乐表演</w:t>
            </w:r>
            <w:r>
              <w:rPr>
                <w:rFonts w:ascii="SimSun" w:eastAsia="SimSun" w:hAnsi="SimSun" w:cs="SimSun"/>
                <w:b w:val="0"/>
                <w:bCs w:val="0"/>
                <w:i w:val="0"/>
                <w:iCs w:val="0"/>
                <w:smallCaps w:val="0"/>
                <w:color w:val="666666"/>
                <w:sz w:val="21"/>
                <w:szCs w:val="21"/>
              </w:rPr>
              <w:br/>
            </w:r>
            <w:r>
              <w:rPr>
                <w:rFonts w:ascii="SimSun" w:eastAsia="SimSun" w:hAnsi="SimSun" w:cs="SimSun"/>
                <w:b w:val="0"/>
                <w:bCs w:val="0"/>
                <w:i w:val="0"/>
                <w:iCs w:val="0"/>
                <w:smallCaps w:val="0"/>
                <w:color w:val="666666"/>
                <w:sz w:val="21"/>
                <w:szCs w:val="21"/>
              </w:rPr>
              <w:t>（美声招考方向）</w:t>
            </w:r>
          </w:p>
        </w:tc>
        <w:tc>
          <w:tcPr>
            <w:tcW w:w="8855" w:type="dxa"/>
            <w:vMerge w:val="restart"/>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vMerge/>
            <w:tcBorders>
              <w:top w:val="single" w:sz="6" w:space="0" w:color="CCCCCC"/>
              <w:bottom w:val="outset" w:sz="24" w:space="0" w:color="000000"/>
              <w:right w:val="outset" w:sz="24" w:space="0" w:color="000000"/>
            </w:tcBorders>
            <w:vAlign w:val="center"/>
            <w:hideMark/>
          </w:tcPr>
          <w:p>
            <w:pPr>
              <w:rPr>
                <w:rFonts w:ascii="SimSun" w:eastAsia="SimSun" w:hAnsi="SimSun" w:cs="SimSun"/>
                <w:b w:val="0"/>
                <w:bCs w:val="0"/>
                <w:i w:val="0"/>
                <w:iCs w:val="0"/>
                <w:smallCaps w:val="0"/>
                <w:color w:val="666666"/>
                <w:sz w:val="21"/>
                <w:szCs w:val="21"/>
              </w:rPr>
            </w:pPr>
          </w:p>
        </w:tc>
        <w:tc>
          <w:tcPr>
            <w:vMerge/>
            <w:tcBorders>
              <w:top w:val="single" w:sz="6" w:space="0" w:color="CCCCCC"/>
              <w:bottom w:val="outset"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6" w:type="dxa"/>
          <w:tblInd w:w="75" w:type="dxa"/>
          <w:tblCellMar>
            <w:top w:w="15" w:type="dxa"/>
            <w:left w:w="15" w:type="dxa"/>
            <w:bottom w:w="15" w:type="dxa"/>
            <w:right w:w="15" w:type="dxa"/>
          </w:tblCellMar>
        </w:tblPrEx>
        <w:tc>
          <w:tcPr>
            <w:vMerge/>
            <w:tcBorders>
              <w:top w:val="single" w:sz="6" w:space="0" w:color="CCCCCC"/>
              <w:bottom w:val="outset" w:sz="24" w:space="0" w:color="000000"/>
              <w:right w:val="outset" w:sz="24" w:space="0" w:color="000000"/>
            </w:tcBorders>
            <w:vAlign w:val="center"/>
            <w:hideMark/>
          </w:tcPr>
          <w:p>
            <w:pPr>
              <w:rPr>
                <w:rFonts w:ascii="SimSun" w:eastAsia="SimSun" w:hAnsi="SimSun" w:cs="SimSun"/>
                <w:b w:val="0"/>
                <w:bCs w:val="0"/>
                <w:i w:val="0"/>
                <w:iCs w:val="0"/>
                <w:smallCaps w:val="0"/>
                <w:color w:val="666666"/>
                <w:sz w:val="21"/>
                <w:szCs w:val="21"/>
              </w:rPr>
            </w:pPr>
          </w:p>
        </w:tc>
        <w:tc>
          <w:tcPr>
            <w:vMerge/>
            <w:tcBorders>
              <w:top w:val="single" w:sz="6" w:space="0" w:color="CCCCCC"/>
              <w:bottom w:val="outset"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6" w:type="dxa"/>
          <w:tblInd w:w="75" w:type="dxa"/>
          <w:tblCellMar>
            <w:top w:w="15" w:type="dxa"/>
            <w:left w:w="15" w:type="dxa"/>
            <w:bottom w:w="15" w:type="dxa"/>
            <w:right w:w="15" w:type="dxa"/>
          </w:tblCellMar>
        </w:tblPrEx>
        <w:tc>
          <w:tcPr>
            <w:tcW w:w="2160" w:type="dxa"/>
            <w:vMerge w:val="restart"/>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音乐表演</w:t>
            </w:r>
            <w:r>
              <w:rPr>
                <w:rFonts w:ascii="SimSun" w:eastAsia="SimSun" w:hAnsi="SimSun" w:cs="SimSun"/>
                <w:b w:val="0"/>
                <w:bCs w:val="0"/>
                <w:i w:val="0"/>
                <w:iCs w:val="0"/>
                <w:smallCaps w:val="0"/>
                <w:color w:val="666666"/>
                <w:sz w:val="21"/>
                <w:szCs w:val="21"/>
              </w:rPr>
              <w:br/>
            </w:r>
            <w:r>
              <w:rPr>
                <w:rFonts w:ascii="SimSun" w:eastAsia="SimSun" w:hAnsi="SimSun" w:cs="SimSun"/>
                <w:b w:val="0"/>
                <w:bCs w:val="0"/>
                <w:i w:val="0"/>
                <w:iCs w:val="0"/>
                <w:smallCaps w:val="0"/>
                <w:color w:val="666666"/>
                <w:sz w:val="21"/>
                <w:szCs w:val="21"/>
              </w:rPr>
              <w:t>（钢琴招考方向）</w:t>
            </w:r>
          </w:p>
        </w:tc>
        <w:tc>
          <w:tcPr>
            <w:tcW w:w="8855" w:type="dxa"/>
            <w:vMerge w:val="restart"/>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vMerge/>
            <w:tcBorders>
              <w:top w:val="single" w:sz="6" w:space="0" w:color="CCCCCC"/>
              <w:bottom w:val="outset" w:sz="24" w:space="0" w:color="000000"/>
              <w:right w:val="outset" w:sz="24" w:space="0" w:color="000000"/>
            </w:tcBorders>
            <w:vAlign w:val="center"/>
            <w:hideMark/>
          </w:tcPr>
          <w:p>
            <w:pPr>
              <w:rPr>
                <w:rFonts w:ascii="SimSun" w:eastAsia="SimSun" w:hAnsi="SimSun" w:cs="SimSun"/>
                <w:b w:val="0"/>
                <w:bCs w:val="0"/>
                <w:i w:val="0"/>
                <w:iCs w:val="0"/>
                <w:smallCaps w:val="0"/>
                <w:color w:val="666666"/>
                <w:sz w:val="21"/>
                <w:szCs w:val="21"/>
              </w:rPr>
            </w:pPr>
          </w:p>
        </w:tc>
        <w:tc>
          <w:tcPr>
            <w:vMerge/>
            <w:tcBorders>
              <w:top w:val="single" w:sz="6" w:space="0" w:color="CCCCCC"/>
              <w:bottom w:val="outset"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6" w:type="dxa"/>
          <w:tblInd w:w="75" w:type="dxa"/>
          <w:tblCellMar>
            <w:top w:w="15" w:type="dxa"/>
            <w:left w:w="15" w:type="dxa"/>
            <w:bottom w:w="15" w:type="dxa"/>
            <w:right w:w="15" w:type="dxa"/>
          </w:tblCellMar>
        </w:tblPrEx>
        <w:tc>
          <w:tcPr>
            <w:tcW w:w="2160" w:type="dxa"/>
            <w:vMerge w:val="restart"/>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音乐表演</w:t>
            </w:r>
            <w:r>
              <w:rPr>
                <w:rFonts w:ascii="SimSun" w:eastAsia="SimSun" w:hAnsi="SimSun" w:cs="SimSun"/>
                <w:b w:val="0"/>
                <w:bCs w:val="0"/>
                <w:i w:val="0"/>
                <w:iCs w:val="0"/>
                <w:smallCaps w:val="0"/>
                <w:color w:val="666666"/>
                <w:sz w:val="21"/>
                <w:szCs w:val="21"/>
              </w:rPr>
              <w:br/>
            </w:r>
            <w:r>
              <w:rPr>
                <w:rFonts w:ascii="SimSun" w:eastAsia="SimSun" w:hAnsi="SimSun" w:cs="SimSun"/>
                <w:b w:val="0"/>
                <w:bCs w:val="0"/>
                <w:i w:val="0"/>
                <w:iCs w:val="0"/>
                <w:smallCaps w:val="0"/>
                <w:color w:val="666666"/>
                <w:sz w:val="21"/>
                <w:szCs w:val="21"/>
              </w:rPr>
              <w:t>（二胡招考方向）</w:t>
            </w:r>
          </w:p>
        </w:tc>
        <w:tc>
          <w:tcPr>
            <w:tcW w:w="8855" w:type="dxa"/>
            <w:vMerge w:val="restart"/>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vMerge/>
            <w:tcBorders>
              <w:top w:val="single" w:sz="6" w:space="0" w:color="CCCCCC"/>
              <w:bottom w:val="outset" w:sz="24" w:space="0" w:color="000000"/>
              <w:right w:val="outset" w:sz="24" w:space="0" w:color="000000"/>
            </w:tcBorders>
            <w:vAlign w:val="center"/>
            <w:hideMark/>
          </w:tcPr>
          <w:p>
            <w:pPr>
              <w:rPr>
                <w:rFonts w:ascii="SimSun" w:eastAsia="SimSun" w:hAnsi="SimSun" w:cs="SimSun"/>
                <w:b w:val="0"/>
                <w:bCs w:val="0"/>
                <w:i w:val="0"/>
                <w:iCs w:val="0"/>
                <w:smallCaps w:val="0"/>
                <w:color w:val="666666"/>
                <w:sz w:val="21"/>
                <w:szCs w:val="21"/>
              </w:rPr>
            </w:pPr>
          </w:p>
        </w:tc>
        <w:tc>
          <w:tcPr>
            <w:vMerge/>
            <w:tcBorders>
              <w:top w:val="single" w:sz="6" w:space="0" w:color="CCCCCC"/>
              <w:bottom w:val="outset"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6" w:type="dxa"/>
          <w:tblInd w:w="75" w:type="dxa"/>
          <w:tblCellMar>
            <w:top w:w="15" w:type="dxa"/>
            <w:left w:w="15" w:type="dxa"/>
            <w:bottom w:w="15" w:type="dxa"/>
            <w:right w:w="15" w:type="dxa"/>
          </w:tblCellMar>
        </w:tblPrEx>
        <w:tc>
          <w:tcPr>
            <w:tcW w:w="2160" w:type="dxa"/>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音乐表演</w:t>
            </w:r>
            <w:r>
              <w:rPr>
                <w:rFonts w:ascii="SimSun" w:eastAsia="SimSun" w:hAnsi="SimSun" w:cs="SimSun"/>
                <w:b w:val="0"/>
                <w:bCs w:val="0"/>
                <w:i w:val="0"/>
                <w:iCs w:val="0"/>
                <w:smallCaps w:val="0"/>
                <w:color w:val="666666"/>
                <w:sz w:val="21"/>
                <w:szCs w:val="21"/>
              </w:rPr>
              <w:br/>
            </w:r>
            <w:r>
              <w:rPr>
                <w:rFonts w:ascii="SimSun" w:eastAsia="SimSun" w:hAnsi="SimSun" w:cs="SimSun"/>
                <w:b w:val="0"/>
                <w:bCs w:val="0"/>
                <w:i w:val="0"/>
                <w:iCs w:val="0"/>
                <w:smallCaps w:val="0"/>
                <w:color w:val="666666"/>
                <w:sz w:val="21"/>
                <w:szCs w:val="21"/>
              </w:rPr>
              <w:t>（扬琴招考方向）</w:t>
            </w:r>
          </w:p>
        </w:tc>
        <w:tc>
          <w:tcPr>
            <w:tcW w:w="8855" w:type="dxa"/>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tcW w:w="2160" w:type="dxa"/>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舞蹈学</w:t>
            </w:r>
          </w:p>
        </w:tc>
        <w:tc>
          <w:tcPr>
            <w:tcW w:w="8855" w:type="dxa"/>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tcW w:w="2160" w:type="dxa"/>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表演</w:t>
            </w:r>
          </w:p>
        </w:tc>
        <w:tc>
          <w:tcPr>
            <w:tcW w:w="8855" w:type="dxa"/>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tcW w:w="2160" w:type="dxa"/>
            <w:vMerge w:val="restart"/>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表演</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（民间艺术表演招考方向）</w:t>
            </w:r>
          </w:p>
        </w:tc>
        <w:tc>
          <w:tcPr>
            <w:tcW w:w="8855" w:type="dxa"/>
            <w:vMerge w:val="restart"/>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vMerge/>
            <w:tcBorders>
              <w:top w:val="single" w:sz="6" w:space="0" w:color="CCCCCC"/>
              <w:bottom w:val="outset" w:sz="24" w:space="0" w:color="000000"/>
              <w:right w:val="outset" w:sz="24" w:space="0" w:color="000000"/>
            </w:tcBorders>
            <w:vAlign w:val="center"/>
            <w:hideMark/>
          </w:tcPr>
          <w:p>
            <w:pPr>
              <w:rPr>
                <w:rFonts w:ascii="SimSun" w:eastAsia="SimSun" w:hAnsi="SimSun" w:cs="SimSun"/>
                <w:b w:val="0"/>
                <w:bCs w:val="0"/>
                <w:i w:val="0"/>
                <w:iCs w:val="0"/>
                <w:smallCaps w:val="0"/>
                <w:color w:val="666666"/>
                <w:sz w:val="21"/>
                <w:szCs w:val="21"/>
              </w:rPr>
            </w:pPr>
          </w:p>
        </w:tc>
        <w:tc>
          <w:tcPr>
            <w:vMerge/>
            <w:tcBorders>
              <w:top w:val="single" w:sz="6" w:space="0" w:color="CCCCCC"/>
              <w:bottom w:val="outset"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6" w:type="dxa"/>
          <w:tblInd w:w="75" w:type="dxa"/>
          <w:tblCellMar>
            <w:top w:w="15" w:type="dxa"/>
            <w:left w:w="15" w:type="dxa"/>
            <w:bottom w:w="15" w:type="dxa"/>
            <w:right w:w="15" w:type="dxa"/>
          </w:tblCellMar>
        </w:tblPrEx>
        <w:tc>
          <w:tcPr>
            <w:tcW w:w="2160" w:type="dxa"/>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戏剧影视文学</w:t>
            </w:r>
          </w:p>
        </w:tc>
        <w:tc>
          <w:tcPr>
            <w:tcW w:w="8855" w:type="dxa"/>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85%</w:t>
            </w:r>
            <w:r>
              <w:rPr>
                <w:rFonts w:ascii="SimSun" w:eastAsia="SimSun" w:hAnsi="SimSun" w:cs="SimSun"/>
                <w:b w:val="0"/>
                <w:bCs w:val="0"/>
                <w:i w:val="0"/>
                <w:iCs w:val="0"/>
                <w:smallCaps w:val="0"/>
                <w:color w:val="666666"/>
                <w:sz w:val="21"/>
                <w:szCs w:val="21"/>
              </w:rPr>
              <w:t>，专业成绩合格，按文化课成绩（不含加分）排序，从高到低录取。排序分相同时，具体科目分数高者优先，优先顺序为：①专业成绩；②语文；③外语</w:t>
            </w:r>
          </w:p>
        </w:tc>
      </w:tr>
      <w:tr>
        <w:tblPrEx>
          <w:tblW w:w="14326" w:type="dxa"/>
          <w:tblInd w:w="75" w:type="dxa"/>
          <w:tblCellMar>
            <w:top w:w="15" w:type="dxa"/>
            <w:left w:w="15" w:type="dxa"/>
            <w:bottom w:w="15" w:type="dxa"/>
            <w:right w:w="15" w:type="dxa"/>
          </w:tblCellMar>
        </w:tblPrEx>
        <w:tc>
          <w:tcPr>
            <w:tcW w:w="2160" w:type="dxa"/>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广播电视编导</w:t>
            </w:r>
          </w:p>
        </w:tc>
        <w:tc>
          <w:tcPr>
            <w:tcW w:w="8855" w:type="dxa"/>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85%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tcW w:w="2160" w:type="dxa"/>
            <w:vMerge w:val="restart"/>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戏剧影视导演</w:t>
            </w:r>
          </w:p>
        </w:tc>
        <w:tc>
          <w:tcPr>
            <w:tcW w:w="8855" w:type="dxa"/>
            <w:vMerge w:val="restart"/>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75%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c>
          <w:tcPr>
            <w:vMerge/>
            <w:tcBorders>
              <w:top w:val="single" w:sz="6" w:space="0" w:color="CCCCCC"/>
              <w:bottom w:val="outset" w:sz="24" w:space="0" w:color="000000"/>
              <w:right w:val="outset" w:sz="24" w:space="0" w:color="000000"/>
            </w:tcBorders>
            <w:vAlign w:val="center"/>
            <w:hideMark/>
          </w:tcPr>
          <w:p>
            <w:pPr>
              <w:rPr>
                <w:rFonts w:ascii="SimSun" w:eastAsia="SimSun" w:hAnsi="SimSun" w:cs="SimSun"/>
                <w:b w:val="0"/>
                <w:bCs w:val="0"/>
                <w:i w:val="0"/>
                <w:iCs w:val="0"/>
                <w:smallCaps w:val="0"/>
                <w:color w:val="666666"/>
                <w:sz w:val="21"/>
                <w:szCs w:val="21"/>
              </w:rPr>
            </w:pPr>
          </w:p>
        </w:tc>
        <w:tc>
          <w:tcPr>
            <w:vMerge/>
            <w:tcBorders>
              <w:top w:val="single" w:sz="6" w:space="0" w:color="CCCCCC"/>
              <w:bottom w:val="outset"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6" w:type="dxa"/>
          <w:tblInd w:w="75" w:type="dxa"/>
          <w:tblCellMar>
            <w:top w:w="15" w:type="dxa"/>
            <w:left w:w="15" w:type="dxa"/>
            <w:bottom w:w="15" w:type="dxa"/>
            <w:right w:w="15" w:type="dxa"/>
          </w:tblCellMar>
        </w:tblPrEx>
        <w:tc>
          <w:tcPr>
            <w:tcW w:w="2160" w:type="dxa"/>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播音与主持艺术</w:t>
            </w:r>
          </w:p>
        </w:tc>
        <w:tc>
          <w:tcPr>
            <w:tcW w:w="8855" w:type="dxa"/>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75%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r>
        <w:tblPrEx>
          <w:tblW w:w="14326" w:type="dxa"/>
          <w:tblInd w:w="75" w:type="dxa"/>
          <w:tblCellMar>
            <w:top w:w="15" w:type="dxa"/>
            <w:left w:w="15" w:type="dxa"/>
            <w:bottom w:w="15" w:type="dxa"/>
            <w:right w:w="15" w:type="dxa"/>
          </w:tblCellMar>
        </w:tblPrEx>
        <w:trPr>
          <w:trHeight w:val="1260"/>
        </w:trPr>
        <w:tc>
          <w:tcPr>
            <w:tcW w:w="2160" w:type="dxa"/>
            <w:tcBorders>
              <w:top w:val="single" w:sz="6" w:space="0" w:color="CCCCCC"/>
              <w:bottom w:val="outset" w:sz="24" w:space="0" w:color="000000"/>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摄影</w:t>
            </w:r>
          </w:p>
        </w:tc>
        <w:tc>
          <w:tcPr>
            <w:tcW w:w="8855" w:type="dxa"/>
            <w:tcBorders>
              <w:top w:val="single" w:sz="6" w:space="0" w:color="CCCCCC"/>
              <w:bottom w:val="outset"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75%</w:t>
            </w:r>
            <w:r>
              <w:rPr>
                <w:rFonts w:ascii="SimSun" w:eastAsia="SimSun" w:hAnsi="SimSun" w:cs="SimSun"/>
                <w:b w:val="0"/>
                <w:bCs w:val="0"/>
                <w:i w:val="0"/>
                <w:iCs w:val="0"/>
                <w:smallCaps w:val="0"/>
                <w:color w:val="666666"/>
                <w:sz w:val="21"/>
                <w:szCs w:val="21"/>
              </w:rPr>
              <w:t>，专业成绩合格，按文化课成绩（不含加分）排序，从高到低录取。排序分相同时，具体科目分数高者优先，优先顺序为：①专业成绩；②语文；③外语</w:t>
            </w:r>
          </w:p>
        </w:tc>
      </w:tr>
      <w:tr>
        <w:tblPrEx>
          <w:tblW w:w="14326" w:type="dxa"/>
          <w:tblInd w:w="75" w:type="dxa"/>
          <w:tblCellMar>
            <w:top w:w="15" w:type="dxa"/>
            <w:left w:w="15" w:type="dxa"/>
            <w:bottom w:w="15" w:type="dxa"/>
            <w:right w:w="15" w:type="dxa"/>
          </w:tblCellMar>
        </w:tblPrEx>
        <w:tc>
          <w:tcPr>
            <w:tcW w:w="2160" w:type="dxa"/>
            <w:tcBorders>
              <w:top w:val="single" w:sz="6" w:space="0" w:color="CCCCCC"/>
              <w:right w:val="outset"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艺术设计学</w:t>
            </w:r>
          </w:p>
        </w:tc>
        <w:tc>
          <w:tcPr>
            <w:tcW w:w="8855" w:type="dxa"/>
            <w:tcBorders>
              <w:top w:val="single" w:sz="6" w:space="0" w:color="CCCCCC"/>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文化课成绩（含加分）达到所在省普通类一批本科录取控制线的</w:t>
            </w:r>
            <w:r>
              <w:rPr>
                <w:rFonts w:ascii="Calibri" w:eastAsia="Calibri" w:hAnsi="Calibri" w:cs="Calibri"/>
                <w:b w:val="0"/>
                <w:bCs w:val="0"/>
                <w:i w:val="0"/>
                <w:iCs w:val="0"/>
                <w:smallCaps w:val="0"/>
                <w:color w:val="666666"/>
                <w:sz w:val="21"/>
                <w:szCs w:val="21"/>
              </w:rPr>
              <w:t>65%</w:t>
            </w:r>
            <w:r>
              <w:rPr>
                <w:rFonts w:ascii="SimSun" w:eastAsia="SimSun" w:hAnsi="SimSun" w:cs="SimSun"/>
                <w:b w:val="0"/>
                <w:bCs w:val="0"/>
                <w:i w:val="0"/>
                <w:iCs w:val="0"/>
                <w:smallCaps w:val="0"/>
                <w:color w:val="666666"/>
                <w:sz w:val="21"/>
                <w:szCs w:val="21"/>
              </w:rPr>
              <w:t>，按专业考试合格成绩排序，从高到低录取。排序分相同时，具体科目分数高者优先，优先顺序为：①语文；②外语</w:t>
            </w:r>
          </w:p>
        </w:tc>
      </w:tr>
    </w:tbl>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1）关于录取原则中文化课成绩最低要求的说明：</w:t>
      </w:r>
    </w:p>
    <w:p>
      <w:pPr>
        <w:pBdr>
          <w:top w:val="none" w:sz="0" w:space="0" w:color="auto"/>
          <w:left w:val="none" w:sz="0" w:space="0" w:color="auto"/>
          <w:bottom w:val="none" w:sz="0" w:space="0" w:color="auto"/>
          <w:right w:val="none" w:sz="0" w:space="0" w:color="auto"/>
        </w:pBdr>
        <w:spacing w:before="0" w:after="0" w:line="585" w:lineRule="atLeast"/>
        <w:ind w:left="0" w:right="0" w:firstLine="96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①所参照控制线乘比例后四舍五入取整数。</w:t>
      </w:r>
    </w:p>
    <w:p>
      <w:pPr>
        <w:pBdr>
          <w:top w:val="none" w:sz="0" w:space="0" w:color="auto"/>
          <w:left w:val="none" w:sz="0" w:space="0" w:color="auto"/>
          <w:bottom w:val="none" w:sz="0" w:space="0" w:color="auto"/>
          <w:right w:val="none" w:sz="0" w:space="0" w:color="auto"/>
        </w:pBdr>
        <w:spacing w:before="0" w:after="0" w:line="585" w:lineRule="atLeast"/>
        <w:ind w:left="0" w:right="0" w:firstLine="96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②如生源所在省招办对相应艺术类专业划定文化课最低控制线高于我校规定的该专业文化课最低分数线，则该专业执行生源所在省招办划定的文化课最低控制线。</w:t>
      </w:r>
    </w:p>
    <w:p>
      <w:pPr>
        <w:pBdr>
          <w:top w:val="none" w:sz="0" w:space="0" w:color="auto"/>
          <w:left w:val="none" w:sz="0" w:space="0" w:color="auto"/>
          <w:bottom w:val="none" w:sz="0" w:space="0" w:color="auto"/>
          <w:right w:val="none" w:sz="0" w:space="0" w:color="auto"/>
        </w:pBdr>
        <w:spacing w:before="0" w:after="0" w:line="585" w:lineRule="atLeast"/>
        <w:ind w:left="0" w:right="0" w:firstLine="96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③一批本科录取控制线：对于合并本科批次的省份和高考综合改革省份，以各省相关规定为准，如无相关规定按自主招生控制分数线划定。</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2）关于录取原则中专业成绩的说明：</w:t>
      </w:r>
    </w:p>
    <w:p>
      <w:pPr>
        <w:pBdr>
          <w:top w:val="none" w:sz="0" w:space="0" w:color="auto"/>
          <w:left w:val="none" w:sz="0" w:space="0" w:color="auto"/>
          <w:bottom w:val="none" w:sz="0" w:space="0" w:color="auto"/>
          <w:right w:val="none" w:sz="0" w:space="0" w:color="auto"/>
        </w:pBdr>
        <w:spacing w:before="0" w:after="0" w:line="585" w:lineRule="atLeast"/>
        <w:ind w:left="0" w:right="0" w:firstLine="96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①在组织专业校考的省份，专业成绩使用校考合格成绩。</w:t>
      </w:r>
    </w:p>
    <w:p>
      <w:pPr>
        <w:pBdr>
          <w:top w:val="none" w:sz="0" w:space="0" w:color="auto"/>
          <w:left w:val="none" w:sz="0" w:space="0" w:color="auto"/>
          <w:bottom w:val="none" w:sz="0" w:space="0" w:color="auto"/>
          <w:right w:val="none" w:sz="0" w:space="0" w:color="auto"/>
        </w:pBdr>
        <w:spacing w:before="0" w:after="0" w:line="585" w:lineRule="atLeast"/>
        <w:ind w:left="0" w:right="0" w:firstLine="96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②在未组织专业校考的省份，专业成绩使用其相应专业省统考或联考合格成绩。</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5.新生复查</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新生入校后，学校将依据国家有关政策对思想政治、身体健康状况等方面进行复查，对违反招生政策和没有达到录取标准的学生进行处理。复查不合格的学生，学校将按照有关规定做出相应处理或取消入学资格。</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6.特殊类型招生提示</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学校艺术类专业、高水平运动队招生的工作程序、日程安排及录取办法按教育部相关规定和《辽宁大学</w:t>
      </w:r>
      <w:r>
        <w:rPr>
          <w:rFonts w:ascii="FangSong" w:eastAsia="FangSong" w:hAnsi="FangSong" w:cs="FangSong"/>
          <w:color w:val="666666"/>
          <w:sz w:val="32"/>
          <w:szCs w:val="32"/>
        </w:rPr>
        <w:t>2019年艺术类专业招生简章》、《辽宁大学2019年高水平运动队</w:t>
      </w:r>
      <w:r>
        <w:rPr>
          <w:rFonts w:ascii="FangSong" w:eastAsia="FangSong" w:hAnsi="FangSong" w:cs="FangSong"/>
          <w:color w:val="666666"/>
          <w:sz w:val="32"/>
          <w:szCs w:val="32"/>
        </w:rPr>
        <w:t>招生</w:t>
      </w:r>
      <w:r>
        <w:rPr>
          <w:rFonts w:ascii="FangSong" w:eastAsia="FangSong" w:hAnsi="FangSong" w:cs="FangSong"/>
          <w:color w:val="666666"/>
          <w:sz w:val="32"/>
          <w:szCs w:val="32"/>
        </w:rPr>
        <w:t>简章》执行。</w:t>
      </w:r>
      <w:r>
        <w:rPr>
          <w:rFonts w:ascii="FangSong" w:eastAsia="FangSong" w:hAnsi="FangSong" w:cs="FangSong"/>
          <w:color w:val="666666"/>
          <w:sz w:val="32"/>
          <w:szCs w:val="32"/>
        </w:rPr>
        <w:t>2019年辽宁省重点高校招收农村学生专项计划作为本科批次院校志愿的组成部分一并填报，单独设立投档单位，不再单设录取批次。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7.咨询联系方式</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地址：辽宁省沈阳市皇姑区崇山中路</w:t>
      </w:r>
      <w:r>
        <w:rPr>
          <w:rFonts w:ascii="FangSong" w:eastAsia="FangSong" w:hAnsi="FangSong" w:cs="FangSong"/>
          <w:color w:val="666666"/>
          <w:sz w:val="32"/>
          <w:szCs w:val="32"/>
        </w:rPr>
        <w:t>66号</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辽宁大学学生工作处</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邮编：</w:t>
      </w:r>
      <w:r>
        <w:rPr>
          <w:rFonts w:ascii="FangSong" w:eastAsia="FangSong" w:hAnsi="FangSong" w:cs="FangSong"/>
          <w:color w:val="666666"/>
          <w:sz w:val="32"/>
          <w:szCs w:val="32"/>
        </w:rPr>
        <w:t>110036电话：024-62202299</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网址：</w:t>
      </w:r>
      <w:r>
        <w:rPr>
          <w:rFonts w:ascii="FangSong" w:eastAsia="FangSong" w:hAnsi="FangSong" w:cs="FangSong"/>
          <w:color w:val="666666"/>
          <w:sz w:val="32"/>
          <w:szCs w:val="32"/>
        </w:rPr>
        <w:t>http://www.lnu.edu.cn</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http://zs.lnu.edu.cn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401/22038.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5.html" TargetMode="External" /><Relationship Id="rId16" Type="http://schemas.openxmlformats.org/officeDocument/2006/relationships/hyperlink" Target="http://www.gk114.com/a/gxzs/zszc/liaoning/2021/0510/19593.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514/8917.html" TargetMode="External" /><Relationship Id="rId5" Type="http://schemas.openxmlformats.org/officeDocument/2006/relationships/hyperlink" Target="http://www.gk114.com/a/gxzs/zszc/liaoning/2019/0625/1017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