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辽宁对外经贸学院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w:t>
      </w:r>
      <w:r>
        <w:rPr>
          <w:rFonts w:ascii="FangSong" w:eastAsia="FangSong" w:hAnsi="FangSong" w:cs="FangSong"/>
          <w:b/>
          <w:bCs/>
          <w:color w:val="666666"/>
          <w:sz w:val="30"/>
          <w:szCs w:val="30"/>
        </w:rPr>
        <w:t>学校自然情况说明</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学校全称：辽宁对外经贸学院。</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办学地点及校址：辽宁省大连市旅顺经济开发区顺乐街33号。</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办学类型：普通高等学校（民办）。</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4.</w:t>
      </w:r>
      <w:r>
        <w:rPr>
          <w:rFonts w:ascii="FangSong" w:eastAsia="FangSong" w:hAnsi="FangSong" w:cs="FangSong"/>
          <w:color w:val="000000"/>
          <w:sz w:val="30"/>
          <w:szCs w:val="30"/>
        </w:rPr>
        <w:t>办学层次：本科。</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5.</w:t>
      </w:r>
      <w:r>
        <w:rPr>
          <w:rFonts w:ascii="FangSong" w:eastAsia="FangSong" w:hAnsi="FangSong" w:cs="FangSong"/>
          <w:color w:val="000000"/>
          <w:sz w:val="30"/>
          <w:szCs w:val="30"/>
        </w:rPr>
        <w:t>办学形式：全日制。</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6.</w:t>
      </w:r>
      <w:r>
        <w:rPr>
          <w:rFonts w:ascii="FangSong" w:eastAsia="FangSong" w:hAnsi="FangSong" w:cs="FangSong"/>
          <w:color w:val="000000"/>
          <w:sz w:val="30"/>
          <w:szCs w:val="30"/>
        </w:rPr>
        <w:t>主要办学条件:</w:t>
      </w:r>
      <w:r>
        <w:rPr>
          <w:rFonts w:ascii="SimSun" w:eastAsia="SimSun" w:hAnsi="SimSun" w:cs="SimSun"/>
          <w:color w:val="000000"/>
          <w:sz w:val="30"/>
          <w:szCs w:val="30"/>
        </w:rPr>
        <w:t> </w:t>
      </w:r>
      <w:r>
        <w:rPr>
          <w:rFonts w:ascii="FangSong" w:eastAsia="FangSong" w:hAnsi="FangSong" w:cs="FangSong"/>
          <w:color w:val="000000"/>
          <w:sz w:val="32"/>
          <w:szCs w:val="32"/>
        </w:rPr>
        <w:t>校园占地面积562763.2平方米(约合843.7亩);</w:t>
      </w:r>
      <w:r>
        <w:rPr>
          <w:rFonts w:ascii="Calibri" w:eastAsia="Calibri" w:hAnsi="Calibri" w:cs="Calibri"/>
          <w:color w:val="000000"/>
          <w:sz w:val="32"/>
          <w:szCs w:val="32"/>
        </w:rPr>
        <w:t> </w:t>
      </w:r>
      <w:r>
        <w:rPr>
          <w:rFonts w:ascii="FangSong" w:eastAsia="FangSong" w:hAnsi="FangSong" w:cs="FangSong"/>
          <w:color w:val="000000"/>
          <w:sz w:val="32"/>
          <w:szCs w:val="32"/>
        </w:rPr>
        <w:t>生均教学行政用房面积10.1平方米；生均宿舍面积8.9平方米；生师比17.6；</w:t>
      </w:r>
      <w:r>
        <w:rPr>
          <w:rFonts w:ascii="FangSong" w:eastAsia="FangSong" w:hAnsi="FangSong" w:cs="FangSong"/>
          <w:color w:val="000000"/>
          <w:sz w:val="32"/>
          <w:szCs w:val="32"/>
        </w:rPr>
        <w:t>专任教师646人,其中具有副高级职务教师占专任教师的比例为55.6%，具有研究生学位教师占专任教师的比例为81.4%；教学科研仪器设备总值4463.7万元，</w:t>
      </w:r>
      <w:r>
        <w:rPr>
          <w:rFonts w:ascii="FangSong" w:eastAsia="FangSong" w:hAnsi="FangSong" w:cs="FangSong"/>
          <w:color w:val="000000"/>
          <w:sz w:val="32"/>
          <w:szCs w:val="32"/>
        </w:rPr>
        <w:t>生均教学科研仪器设备值3710.8元；</w:t>
      </w:r>
      <w:r>
        <w:rPr>
          <w:rFonts w:ascii="Calibri" w:eastAsia="Calibri" w:hAnsi="Calibri" w:cs="Calibri"/>
          <w:color w:val="000000"/>
          <w:sz w:val="32"/>
          <w:szCs w:val="32"/>
        </w:rPr>
        <w:t> </w:t>
      </w:r>
      <w:r>
        <w:rPr>
          <w:rFonts w:ascii="FangSong" w:eastAsia="FangSong" w:hAnsi="FangSong" w:cs="FangSong"/>
          <w:color w:val="000000"/>
          <w:sz w:val="32"/>
          <w:szCs w:val="32"/>
        </w:rPr>
        <w:t>图书126.3万册;</w:t>
      </w:r>
      <w:r>
        <w:rPr>
          <w:rFonts w:ascii="Calibri" w:eastAsia="Calibri" w:hAnsi="Calibri" w:cs="Calibri"/>
          <w:color w:val="000000"/>
          <w:sz w:val="32"/>
          <w:szCs w:val="32"/>
        </w:rPr>
        <w:t> </w:t>
      </w:r>
      <w:r>
        <w:rPr>
          <w:rFonts w:ascii="FangSong" w:eastAsia="FangSong" w:hAnsi="FangSong" w:cs="FangSong"/>
          <w:color w:val="000000"/>
          <w:sz w:val="32"/>
          <w:szCs w:val="32"/>
        </w:rPr>
        <w:t>生均图书105册。</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二、招生计划特别说明</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w:t>
      </w:r>
      <w:r>
        <w:rPr>
          <w:rFonts w:ascii="FangSong" w:eastAsia="FangSong" w:hAnsi="FangSong" w:cs="FangSong"/>
          <w:color w:val="000000"/>
          <w:sz w:val="30"/>
          <w:szCs w:val="30"/>
        </w:rPr>
        <w:t>学校招生计划分配原则和办法:</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根据社会经济发展的需要，结合学校办学条件、专业特点、毕业生就业情况和各省(自治区、直辖市)的生源情况，合理安排分省分专业招生计划。</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预留计划比例及使用原则</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普通类预留计划不超过招生计划总数的1%，艺术类预留计划不超过艺术类招生计划总数的15%，用于调节各省（区、市）统考上线生源的不平衡和进档且服从专业调剂考生不易被退档等问题。预留计划使用坚持集体议事、集体决策、公开透明的原则。在招生录取过程中，对生源人数多、质量好的省（区、市）特别是符合上述条件的中西部地区，可适当调整招生计划，在相应录取批次投档前投放。</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所招专业均无语种限制。</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4.</w:t>
      </w:r>
      <w:r>
        <w:rPr>
          <w:rFonts w:ascii="FangSong" w:eastAsia="FangSong" w:hAnsi="FangSong" w:cs="FangSong"/>
          <w:color w:val="000000"/>
          <w:sz w:val="30"/>
          <w:szCs w:val="30"/>
        </w:rPr>
        <w:t>所招专业均无男女比例限制。</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5.</w:t>
      </w:r>
      <w:r>
        <w:rPr>
          <w:rFonts w:ascii="FangSong" w:eastAsia="FangSong" w:hAnsi="FangSong" w:cs="FangSong"/>
          <w:color w:val="000000"/>
          <w:sz w:val="30"/>
          <w:szCs w:val="30"/>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64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6.</w:t>
      </w:r>
      <w:r>
        <w:rPr>
          <w:rFonts w:ascii="FangSong" w:eastAsia="FangSong" w:hAnsi="FangSong" w:cs="FangSong"/>
          <w:color w:val="000000"/>
          <w:sz w:val="30"/>
          <w:szCs w:val="30"/>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三、专业设置说明</w:t>
      </w:r>
    </w:p>
    <w:tbl>
      <w:tblPr>
        <w:tblW w:w="8655" w:type="dxa"/>
        <w:tblInd w:w="7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692"/>
        <w:gridCol w:w="1269"/>
        <w:gridCol w:w="2465"/>
        <w:gridCol w:w="787"/>
        <w:gridCol w:w="1089"/>
        <w:gridCol w:w="1505"/>
        <w:gridCol w:w="1028"/>
        <w:gridCol w:w="1572"/>
      </w:tblGrid>
      <w:tr>
        <w:tblPrEx>
          <w:tblW w:w="8655" w:type="dxa"/>
          <w:tblInd w:w="7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150"/>
        </w:trPr>
        <w:tc>
          <w:tcPr>
            <w:tcW w:w="555"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序号</w:t>
            </w:r>
          </w:p>
        </w:tc>
        <w:tc>
          <w:tcPr>
            <w:tcW w:w="14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专业代码</w:t>
            </w:r>
          </w:p>
        </w:tc>
        <w:tc>
          <w:tcPr>
            <w:tcW w:w="27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专业名称</w:t>
            </w:r>
          </w:p>
        </w:tc>
        <w:tc>
          <w:tcPr>
            <w:tcW w:w="6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学制</w:t>
            </w:r>
          </w:p>
        </w:tc>
        <w:tc>
          <w:tcPr>
            <w:tcW w:w="770"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学习年限</w:t>
            </w:r>
          </w:p>
        </w:tc>
        <w:tc>
          <w:tcPr>
            <w:tcW w:w="16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firstLine="15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科类</w:t>
            </w:r>
          </w:p>
        </w:tc>
        <w:tc>
          <w:tcPr>
            <w:tcW w:w="13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授予学</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rPr>
              <w:t>位门类</w:t>
            </w:r>
          </w:p>
        </w:tc>
        <w:tc>
          <w:tcPr>
            <w:tcW w:w="1490"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pacing w:val="-15"/>
              </w:rPr>
              <w:t>学费</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pacing w:val="-15"/>
              </w:rPr>
              <w:t>（元/年/生）</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020401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国际经济与贸易</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经济学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82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020301K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金融学</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经济学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96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英语</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050262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商务英语</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9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050207</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日语</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78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俄语</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7</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120203K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会计学</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8</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120204</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财务管理</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9</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120208</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资产评估</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10</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市场营销</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11</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120206</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人力资源管理</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120901K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旅游管理</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13</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120903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会展经济与管理</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6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14</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130503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环境设计</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艺理或艺文</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艺术学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15</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120601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物流管理</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16</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120801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电子商务</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经济学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r>
        <w:tblPrEx>
          <w:tblW w:w="8655" w:type="dxa"/>
          <w:tblInd w:w="75" w:type="dxa"/>
          <w:tblCellMar>
            <w:top w:w="0" w:type="dxa"/>
            <w:left w:w="0" w:type="dxa"/>
            <w:bottom w:w="0" w:type="dxa"/>
            <w:right w:w="0" w:type="dxa"/>
          </w:tblCellMar>
        </w:tblPrEx>
        <w:trPr>
          <w:trHeight w:val="150"/>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17</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120102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信息管理与信息系统</w:t>
            </w:r>
          </w:p>
        </w:tc>
        <w:tc>
          <w:tcPr>
            <w:tcW w:w="6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77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r>
              <w:rPr>
                <w:rFonts w:ascii="FangSong" w:eastAsia="FangSong" w:hAnsi="FangSong" w:cs="FangSong"/>
                <w:b w:val="0"/>
                <w:bCs w:val="0"/>
                <w:i w:val="0"/>
                <w:iCs w:val="0"/>
                <w:smallCaps w:val="0"/>
                <w:color w:val="000000"/>
              </w:rPr>
              <w:t>年</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或文理兼招</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管理学</w:t>
            </w:r>
          </w:p>
        </w:tc>
        <w:tc>
          <w:tcPr>
            <w:tcW w:w="149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20000</w:t>
            </w:r>
          </w:p>
        </w:tc>
      </w:tr>
    </w:tbl>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本科学生学习期满，成绩合格颁发辽宁对外经贸学院普通高等学校本科毕业证书，达到辽宁对外经贸学院学位授予标准的颁发辽宁对外经贸学院学士学位证书。</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五、收费情况说明</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学费和住宿费的收取标准:</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学费均为20000元/人/学年</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住宿费均为2200元/人/学年</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学生因故退学或提前结束学业的，学校根据学生实际学习时间，</w:t>
      </w:r>
      <w:r>
        <w:rPr>
          <w:rFonts w:ascii="FangSong" w:eastAsia="FangSong" w:hAnsi="FangSong" w:cs="FangSong"/>
          <w:color w:val="000000"/>
          <w:sz w:val="30"/>
          <w:szCs w:val="30"/>
        </w:rPr>
        <w:t>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学校对家庭经济困难学生扶困助学的具体措施：</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学校为贫困生提供绿色通道，保证新生正常办理入学手续；为贫困生在校内提供勤工俭学岗位；奖学金、助学金设置情况：</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国家奖学金：8000元/人/年</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省政府奖学金：8000元/人/年</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国家励志奖学金：5000元/人/年</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国家助学金：一等4000元/人/年</w:t>
      </w:r>
      <w:r>
        <w:rPr>
          <w:rFonts w:ascii="SimSun" w:eastAsia="SimSun" w:hAnsi="SimSun" w:cs="SimSun"/>
          <w:color w:val="000000"/>
          <w:sz w:val="30"/>
          <w:szCs w:val="30"/>
        </w:rPr>
        <w:t>   </w:t>
      </w:r>
      <w:r>
        <w:rPr>
          <w:rFonts w:ascii="FangSong" w:eastAsia="FangSong" w:hAnsi="FangSong" w:cs="FangSong"/>
          <w:color w:val="000000"/>
          <w:sz w:val="30"/>
          <w:szCs w:val="30"/>
        </w:rPr>
        <w:t>二等2500元/人/年</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学校奖学金：一等2000元/人/年</w:t>
      </w:r>
      <w:r>
        <w:rPr>
          <w:rFonts w:ascii="SimSun" w:eastAsia="SimSun" w:hAnsi="SimSun" w:cs="SimSun"/>
          <w:color w:val="000000"/>
          <w:sz w:val="30"/>
          <w:szCs w:val="30"/>
        </w:rPr>
        <w:t>   </w:t>
      </w:r>
      <w:r>
        <w:rPr>
          <w:rFonts w:ascii="FangSong" w:eastAsia="FangSong" w:hAnsi="FangSong" w:cs="FangSong"/>
          <w:color w:val="000000"/>
          <w:sz w:val="30"/>
          <w:szCs w:val="30"/>
        </w:rPr>
        <w:t>二等1000元/人/年</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000000"/>
          <w:sz w:val="30"/>
          <w:szCs w:val="30"/>
        </w:rPr>
        <w:t>      </w:t>
      </w:r>
      <w:r>
        <w:rPr>
          <w:rFonts w:ascii="FangSong" w:eastAsia="FangSong" w:hAnsi="FangSong" w:cs="FangSong"/>
          <w:color w:val="000000"/>
          <w:sz w:val="30"/>
          <w:szCs w:val="30"/>
        </w:rPr>
        <w:t>三等500元/人/年</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000000"/>
          <w:sz w:val="30"/>
          <w:szCs w:val="30"/>
        </w:rPr>
        <w:t>六、录取办法说明</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1.</w:t>
      </w:r>
      <w:r>
        <w:rPr>
          <w:rFonts w:ascii="FangSong" w:eastAsia="FangSong" w:hAnsi="FangSong" w:cs="FangSong"/>
          <w:color w:val="000000"/>
          <w:sz w:val="30"/>
          <w:szCs w:val="30"/>
        </w:rPr>
        <w:t>投档比例</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按顺序志愿投档的批次，投档比例</w:t>
      </w:r>
      <w:r>
        <w:rPr>
          <w:rFonts w:ascii="FangSong" w:eastAsia="FangSong" w:hAnsi="FangSong" w:cs="FangSong"/>
          <w:color w:val="000000"/>
          <w:sz w:val="30"/>
          <w:szCs w:val="30"/>
        </w:rPr>
        <w:t>为120%；</w:t>
      </w:r>
      <w:r>
        <w:rPr>
          <w:rFonts w:ascii="FangSong" w:eastAsia="FangSong" w:hAnsi="FangSong" w:cs="FangSong"/>
          <w:color w:val="000000"/>
          <w:sz w:val="30"/>
          <w:szCs w:val="30"/>
        </w:rPr>
        <w:t>按平行志愿投档的批次，投档比例</w:t>
      </w:r>
      <w:r>
        <w:rPr>
          <w:rFonts w:ascii="FangSong" w:eastAsia="FangSong" w:hAnsi="FangSong" w:cs="FangSong"/>
          <w:color w:val="000000"/>
          <w:sz w:val="30"/>
          <w:szCs w:val="30"/>
        </w:rPr>
        <w:t>为100%</w:t>
      </w:r>
      <w:r>
        <w:rPr>
          <w:rFonts w:ascii="FangSong" w:eastAsia="FangSong" w:hAnsi="FangSong" w:cs="FangSong"/>
          <w:color w:val="000000"/>
          <w:sz w:val="30"/>
          <w:szCs w:val="30"/>
        </w:rPr>
        <w:t>。</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2.</w:t>
      </w:r>
      <w:r>
        <w:rPr>
          <w:rFonts w:ascii="FangSong" w:eastAsia="FangSong" w:hAnsi="FangSong" w:cs="FangSong"/>
          <w:color w:val="000000"/>
          <w:sz w:val="30"/>
          <w:szCs w:val="30"/>
        </w:rPr>
        <w:t>身体健康状况要求</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3.</w:t>
      </w:r>
      <w:r>
        <w:rPr>
          <w:rFonts w:ascii="FangSong" w:eastAsia="FangSong" w:hAnsi="FangSong" w:cs="FangSong"/>
          <w:color w:val="000000"/>
          <w:sz w:val="30"/>
          <w:szCs w:val="30"/>
        </w:rPr>
        <w:t>院校志愿及录取</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普通类:</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对顺序志愿投档的省份,</w:t>
      </w:r>
      <w:r>
        <w:rPr>
          <w:rFonts w:ascii="FangSong" w:eastAsia="FangSong" w:hAnsi="FangSong" w:cs="FangSong"/>
          <w:color w:val="000000"/>
          <w:sz w:val="30"/>
          <w:szCs w:val="30"/>
        </w:rPr>
        <w:t>在高考成绩达到同批次录取最低控制分数线，按考生志愿顺序从高分到低分择优录取。当第一志愿上线考生数不足招生计划数时,在同批录取控制分数线以上，按考生院校志愿顺序从高分到低分择优录取；</w:t>
      </w:r>
      <w:r>
        <w:rPr>
          <w:rFonts w:ascii="FangSong" w:eastAsia="FangSong" w:hAnsi="FangSong" w:cs="FangSong"/>
          <w:color w:val="000000"/>
          <w:sz w:val="30"/>
          <w:szCs w:val="30"/>
        </w:rPr>
        <w:t>对实行平行志愿投档的省份, 实行“分数优先”的录取原则</w:t>
      </w:r>
      <w:r>
        <w:rPr>
          <w:rFonts w:ascii="FangSong" w:eastAsia="FangSong" w:hAnsi="FangSong" w:cs="FangSong"/>
          <w:color w:val="000000"/>
          <w:sz w:val="30"/>
          <w:szCs w:val="30"/>
        </w:rPr>
        <w:t>。</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艺术类:</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辽宁省招生艺术类在本科批第一阶段录取（实行平行志愿录取）。</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其他省份招生在相应艺术类批次录取。</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4.</w:t>
      </w:r>
      <w:r>
        <w:rPr>
          <w:rFonts w:ascii="FangSong" w:eastAsia="FangSong" w:hAnsi="FangSong" w:cs="FangSong"/>
          <w:color w:val="000000"/>
          <w:sz w:val="30"/>
          <w:szCs w:val="30"/>
        </w:rPr>
        <w:t>对高考加分学生的处理</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在录取中执行各省级招考委关于高考加分、降分投档以及同等条件下优先录取等照顾录取的规定。</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5.</w:t>
      </w:r>
      <w:r>
        <w:rPr>
          <w:rFonts w:ascii="FangSong" w:eastAsia="FangSong" w:hAnsi="FangSong" w:cs="FangSong"/>
          <w:color w:val="000000"/>
          <w:sz w:val="30"/>
          <w:szCs w:val="30"/>
        </w:rPr>
        <w:t>普通类进档考生的专业安排办法</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依据考生的投档分（高考文化分加政策性加分），</w:t>
      </w:r>
      <w:r>
        <w:rPr>
          <w:rFonts w:ascii="FangSong" w:eastAsia="FangSong" w:hAnsi="FangSong" w:cs="FangSong"/>
          <w:color w:val="000000"/>
          <w:sz w:val="30"/>
          <w:szCs w:val="30"/>
        </w:rPr>
        <w:t>实行“分数优先”的录取原则：</w:t>
      </w:r>
      <w:r>
        <w:rPr>
          <w:rFonts w:ascii="FangSong" w:eastAsia="FangSong" w:hAnsi="FangSong" w:cs="FangSong"/>
          <w:color w:val="000000"/>
          <w:sz w:val="30"/>
          <w:szCs w:val="30"/>
        </w:rPr>
        <w:t>从高分到低分安排专业，专业志愿之间不设分数级差。</w:t>
      </w:r>
      <w:r>
        <w:rPr>
          <w:rFonts w:ascii="FangSong" w:eastAsia="FangSong" w:hAnsi="FangSong" w:cs="FangSong"/>
          <w:color w:val="000000"/>
          <w:sz w:val="30"/>
          <w:szCs w:val="30"/>
        </w:rPr>
        <w:t>在</w:t>
      </w:r>
      <w:r>
        <w:rPr>
          <w:rFonts w:ascii="FangSong" w:eastAsia="FangSong" w:hAnsi="FangSong" w:cs="FangSong"/>
          <w:color w:val="000000"/>
          <w:sz w:val="30"/>
          <w:szCs w:val="30"/>
        </w:rPr>
        <w:t>高考投档成绩相同条件下，文科考生按照语文、数学、外语，理科考生按照数学、语文、外语</w:t>
      </w:r>
      <w:r>
        <w:rPr>
          <w:rFonts w:ascii="FangSong" w:eastAsia="FangSong" w:hAnsi="FangSong" w:cs="FangSong"/>
          <w:color w:val="000000"/>
          <w:sz w:val="30"/>
          <w:szCs w:val="30"/>
        </w:rPr>
        <w:t>,</w:t>
      </w:r>
      <w:r>
        <w:rPr>
          <w:rFonts w:ascii="FangSong" w:eastAsia="FangSong" w:hAnsi="FangSong" w:cs="FangSong"/>
          <w:color w:val="000000"/>
          <w:sz w:val="30"/>
          <w:szCs w:val="30"/>
        </w:rPr>
        <w:t>进行录取</w:t>
      </w:r>
      <w:r>
        <w:rPr>
          <w:rFonts w:ascii="FangSong" w:eastAsia="FangSong" w:hAnsi="FangSong" w:cs="FangSong"/>
          <w:color w:val="000000"/>
          <w:sz w:val="30"/>
          <w:szCs w:val="30"/>
        </w:rPr>
        <w:t>。如果考生服从专业调剂，学校可将考生调剂到招生计划尚未完成的专业，直至所有专业录满为止。</w:t>
      </w:r>
    </w:p>
    <w:p>
      <w:pPr>
        <w:pBdr>
          <w:top w:val="none" w:sz="0" w:space="0" w:color="auto"/>
          <w:left w:val="none" w:sz="0" w:space="0" w:color="auto"/>
          <w:bottom w:val="none" w:sz="0" w:space="0" w:color="auto"/>
          <w:right w:val="none" w:sz="0" w:space="0" w:color="auto"/>
        </w:pBdr>
        <w:spacing w:before="0" w:after="0" w:line="675" w:lineRule="atLeast"/>
        <w:ind w:left="0" w:right="0" w:firstLine="195"/>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r>
        <w:rPr>
          <w:rFonts w:ascii="FangSong" w:eastAsia="FangSong" w:hAnsi="FangSong" w:cs="FangSong"/>
          <w:color w:val="000000"/>
          <w:sz w:val="30"/>
          <w:szCs w:val="30"/>
        </w:rPr>
        <w:t xml:space="preserve"> 6.</w:t>
      </w:r>
      <w:r>
        <w:rPr>
          <w:rFonts w:ascii="FangSong" w:eastAsia="FangSong" w:hAnsi="FangSong" w:cs="FangSong"/>
          <w:color w:val="000000"/>
          <w:sz w:val="30"/>
          <w:szCs w:val="30"/>
        </w:rPr>
        <w:t>艺术类考生录取办法</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辽宁省：考生需获得省级招考办颁发的艺术类专业考试合格证，并达到艺术类专业统考合格分数线和文化课成绩录取控制分数线，按照考生“文化课成绩(含高考加分)/2+专业课成绩(统考)”的综合成绩从高分到低分录取。当考生综合成绩相同时,</w:t>
      </w:r>
      <w:r>
        <w:rPr>
          <w:rFonts w:ascii="FangSong" w:eastAsia="FangSong" w:hAnsi="FangSong" w:cs="FangSong"/>
          <w:color w:val="000000"/>
          <w:sz w:val="30"/>
          <w:szCs w:val="30"/>
        </w:rPr>
        <w:t>艺术(文)考生按照专业课成绩、语文单科成绩从高分到低分录取，艺术(理)考生按照专业课成绩、数学单科成绩从高分到低分录取。</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000000"/>
          <w:sz w:val="30"/>
          <w:szCs w:val="30"/>
        </w:rPr>
        <w:t>内蒙古：</w:t>
      </w:r>
      <w:r>
        <w:rPr>
          <w:rFonts w:ascii="FangSong" w:eastAsia="FangSong" w:hAnsi="FangSong" w:cs="FangSong"/>
          <w:color w:val="000000"/>
          <w:sz w:val="30"/>
          <w:szCs w:val="30"/>
        </w:rPr>
        <w:t>考生需获得省级招考办颁发的艺术类专业考试合格证，并达到艺术类专业统考合格分数线和文化课成绩录取控制分数线，按照考生文化课成绩（含政策性加分）成绩从高分到低分录取。当考生综合成绩相同时,</w:t>
      </w:r>
      <w:r>
        <w:rPr>
          <w:rFonts w:ascii="FangSong" w:eastAsia="FangSong" w:hAnsi="FangSong" w:cs="FangSong"/>
          <w:color w:val="000000"/>
          <w:sz w:val="30"/>
          <w:szCs w:val="30"/>
        </w:rPr>
        <w:t>艺术(文)考生按照专业课成绩、语文单科成绩从高分到低分录取，艺术(理)考生按照专业课成绩、数学单科成绩从高分到低分录取。</w:t>
      </w:r>
    </w:p>
    <w:p>
      <w:pPr>
        <w:pBdr>
          <w:top w:val="none" w:sz="0" w:space="0" w:color="auto"/>
          <w:left w:val="none" w:sz="0" w:space="0" w:color="auto"/>
          <w:bottom w:val="none" w:sz="0" w:space="0" w:color="auto"/>
          <w:right w:val="none" w:sz="0" w:space="0" w:color="auto"/>
        </w:pBdr>
        <w:spacing w:before="0" w:after="0" w:line="67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7.</w:t>
      </w:r>
      <w:r>
        <w:rPr>
          <w:rFonts w:ascii="FangSong" w:eastAsia="FangSong" w:hAnsi="FangSong" w:cs="FangSong"/>
          <w:color w:val="000000"/>
          <w:sz w:val="32"/>
          <w:szCs w:val="32"/>
        </w:rPr>
        <w:t>联系电话、网址</w:t>
      </w:r>
    </w:p>
    <w:p>
      <w:pPr>
        <w:pBdr>
          <w:top w:val="none" w:sz="0" w:space="0" w:color="auto"/>
          <w:left w:val="none" w:sz="0" w:space="0" w:color="auto"/>
          <w:bottom w:val="none" w:sz="0" w:space="0" w:color="auto"/>
          <w:right w:val="none" w:sz="0" w:space="0" w:color="auto"/>
        </w:pBdr>
        <w:spacing w:before="0" w:after="0" w:line="67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联系电话：0411-86209933、86208758、86208881</w:t>
      </w:r>
    </w:p>
    <w:p>
      <w:pPr>
        <w:pBdr>
          <w:top w:val="none" w:sz="0" w:space="0" w:color="auto"/>
          <w:left w:val="none" w:sz="0" w:space="0" w:color="auto"/>
          <w:bottom w:val="none" w:sz="0" w:space="0" w:color="auto"/>
          <w:right w:val="none" w:sz="0" w:space="0" w:color="auto"/>
        </w:pBdr>
        <w:spacing w:before="0" w:after="0" w:line="67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传</w:t>
      </w:r>
      <w:r>
        <w:rPr>
          <w:rFonts w:ascii="SimSun" w:eastAsia="SimSun" w:hAnsi="SimSun" w:cs="SimSun"/>
          <w:color w:val="000000"/>
          <w:sz w:val="32"/>
          <w:szCs w:val="32"/>
        </w:rPr>
        <w:t> </w:t>
      </w:r>
      <w:r>
        <w:rPr>
          <w:rFonts w:ascii="Calibri" w:eastAsia="Calibri" w:hAnsi="Calibri" w:cs="Calibri"/>
          <w:color w:val="000000"/>
          <w:sz w:val="32"/>
          <w:szCs w:val="32"/>
        </w:rPr>
        <w:t>  </w:t>
      </w:r>
      <w:r>
        <w:rPr>
          <w:rFonts w:ascii="FangSong" w:eastAsia="FangSong" w:hAnsi="FangSong" w:cs="FangSong"/>
          <w:color w:val="000000"/>
          <w:sz w:val="32"/>
          <w:szCs w:val="32"/>
        </w:rPr>
        <w:t>真：0411-86208998</w:t>
      </w:r>
    </w:p>
    <w:p>
      <w:pPr>
        <w:pBdr>
          <w:top w:val="none" w:sz="0" w:space="0" w:color="auto"/>
          <w:left w:val="none" w:sz="0" w:space="0" w:color="auto"/>
          <w:bottom w:val="none" w:sz="0" w:space="0" w:color="auto"/>
          <w:right w:val="none" w:sz="0" w:space="0" w:color="auto"/>
        </w:pBdr>
        <w:spacing w:before="0" w:after="0" w:line="67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网</w:t>
      </w:r>
      <w:r>
        <w:rPr>
          <w:rFonts w:ascii="SimSun" w:eastAsia="SimSun" w:hAnsi="SimSun" w:cs="SimSun"/>
          <w:color w:val="000000"/>
          <w:sz w:val="32"/>
          <w:szCs w:val="32"/>
        </w:rPr>
        <w:t>  </w:t>
      </w:r>
      <w:r>
        <w:rPr>
          <w:rFonts w:ascii="FangSong" w:eastAsia="FangSong" w:hAnsi="FangSong" w:cs="FangSong"/>
          <w:color w:val="000000"/>
          <w:sz w:val="32"/>
          <w:szCs w:val="32"/>
        </w:rPr>
        <w:t>址：</w:t>
      </w:r>
      <w:hyperlink r:id="rId4" w:history="1">
        <w:r>
          <w:rPr>
            <w:rFonts w:ascii="FangSong" w:eastAsia="FangSong" w:hAnsi="FangSong" w:cs="FangSong"/>
            <w:color w:val="000000"/>
            <w:sz w:val="21"/>
            <w:szCs w:val="21"/>
            <w:u w:val="single" w:color="666666"/>
          </w:rPr>
          <w:t>www.luibe.edu.cn</w:t>
        </w:r>
      </w:hyperlink>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r>
        <w:rPr>
          <w:rFonts w:ascii="FangSong" w:eastAsia="FangSong" w:hAnsi="FangSong" w:cs="FangSong"/>
          <w:color w:val="000000"/>
          <w:sz w:val="30"/>
          <w:szCs w:val="30"/>
        </w:rPr>
        <w:t xml:space="preserve"> </w:t>
      </w:r>
      <w:r>
        <w:rPr>
          <w:rFonts w:ascii="Calibri" w:eastAsia="Calibri" w:hAnsi="Calibri" w:cs="Calibri"/>
          <w:color w:val="000000"/>
          <w:sz w:val="30"/>
          <w:szCs w:val="30"/>
        </w:rPr>
        <w:t>     </w:t>
      </w:r>
      <w:r>
        <w:rPr>
          <w:rFonts w:ascii="FangSong" w:eastAsia="FangSong" w:hAnsi="FangSong" w:cs="FangSong"/>
          <w:color w:val="000000"/>
          <w:sz w:val="30"/>
          <w:szCs w:val="30"/>
        </w:rPr>
        <w:t>辽宁对外经贸学院</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000000"/>
          <w:sz w:val="30"/>
          <w:szCs w:val="30"/>
        </w:rPr>
        <w:t>                              </w:t>
      </w:r>
      <w:r>
        <w:rPr>
          <w:rFonts w:ascii="FangSong" w:eastAsia="FangSong" w:hAnsi="FangSong" w:cs="FangSong"/>
          <w:color w:val="000000"/>
          <w:sz w:val="30"/>
          <w:szCs w:val="30"/>
        </w:rPr>
        <w:t xml:space="preserve"> </w:t>
      </w:r>
      <w:r>
        <w:rPr>
          <w:rFonts w:ascii="Calibri" w:eastAsia="Calibri" w:hAnsi="Calibri" w:cs="Calibri"/>
          <w:color w:val="000000"/>
          <w:sz w:val="30"/>
          <w:szCs w:val="30"/>
        </w:rPr>
        <w:t> </w:t>
      </w:r>
      <w:r>
        <w:rPr>
          <w:rFonts w:ascii="FangSong" w:eastAsia="FangSong" w:hAnsi="FangSong" w:cs="FangSong"/>
          <w:color w:val="000000"/>
          <w:sz w:val="30"/>
          <w:szCs w:val="30"/>
        </w:rPr>
        <w:t>2018</w:t>
      </w:r>
      <w:r>
        <w:rPr>
          <w:rFonts w:ascii="FangSong" w:eastAsia="FangSong" w:hAnsi="FangSong" w:cs="FangSong"/>
          <w:color w:val="000000"/>
          <w:sz w:val="30"/>
          <w:szCs w:val="30"/>
        </w:rPr>
        <w:t>年4月23日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营口职业技术学院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沈阳大学二〇一八年招生章程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596.html" TargetMode="External" /><Relationship Id="rId15" Type="http://schemas.openxmlformats.org/officeDocument/2006/relationships/hyperlink" Target="http://www.gk114.com/a/gxzs/zszc/liaoning/2021/0510/19592.html" TargetMode="External" /><Relationship Id="rId16" Type="http://schemas.openxmlformats.org/officeDocument/2006/relationships/hyperlink" Target="http://www.gk114.com/a/gxzs/zszc/liaoning/2021/0510/19585.html" TargetMode="External" /><Relationship Id="rId17" Type="http://schemas.openxmlformats.org/officeDocument/2006/relationships/hyperlink" Target="http://www.gk114.com/a/gxzs/zszc/liaoning/2021/0510/19583.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uibe.edu.cn/" TargetMode="External" /><Relationship Id="rId5" Type="http://schemas.openxmlformats.org/officeDocument/2006/relationships/hyperlink" Target="http://www.gk114.com/a/gxzs/zszc/liaoning/2019/0221/6497.html" TargetMode="External" /><Relationship Id="rId6" Type="http://schemas.openxmlformats.org/officeDocument/2006/relationships/hyperlink" Target="http://www.gk114.com/a/gxzs/zszc/liaoning/2019/0221/6499.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