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辽宁对外经贸学院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w:t>
      </w:r>
      <w:r>
        <w:rPr>
          <w:rFonts w:ascii="Microsoft YaHei" w:eastAsia="Microsoft YaHei" w:hAnsi="Microsoft YaHei" w:cs="Microsoft YaHei"/>
          <w:b/>
          <w:bCs/>
          <w:color w:val="666666"/>
          <w:sz w:val="21"/>
          <w:szCs w:val="21"/>
        </w:rPr>
        <w:t>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1.高校名称：辽宁对外经贸学院。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2.办学地点及校址：辽宁省大连市旅顺经济开发区顺乐街33号。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校园占地面积</w:t>
      </w:r>
      <w:r>
        <w:rPr>
          <w:rFonts w:ascii="Microsoft YaHei" w:eastAsia="Microsoft YaHei" w:hAnsi="Microsoft YaHei" w:cs="Microsoft YaHei"/>
          <w:color w:val="666666"/>
          <w:sz w:val="21"/>
          <w:szCs w:val="21"/>
        </w:rPr>
        <w:t>56.3万平方米(约合843.7亩)</w:t>
      </w:r>
      <w:r>
        <w:rPr>
          <w:rFonts w:ascii="Microsoft YaHei" w:eastAsia="Microsoft YaHei" w:hAnsi="Microsoft YaHei" w:cs="Microsoft YaHei"/>
          <w:color w:val="666666"/>
          <w:sz w:val="21"/>
          <w:szCs w:val="21"/>
        </w:rPr>
        <w:t>，生均教学行政用房面积</w:t>
      </w:r>
      <w:r>
        <w:rPr>
          <w:rFonts w:ascii="Microsoft YaHei" w:eastAsia="Microsoft YaHei" w:hAnsi="Microsoft YaHei" w:cs="Microsoft YaHei"/>
          <w:color w:val="666666"/>
          <w:sz w:val="21"/>
          <w:szCs w:val="21"/>
        </w:rPr>
        <w:t>10.4平方米；生均宿舍面积10.3平方米；生师比16.2；专任教师698人，其中具有硕士及以上学位的专任教师占专任教师的比例为82.2%。教学科研仪器设备总值4320.6万元，生均教学科研仪器设备值3644.2元；图书124.7万册，生均图书105.1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学校招生计划分配原则和办法</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根据社会经济发展的需要，结合学校办学条件、专业特点、毕业生就业情况和各省</w:t>
      </w:r>
      <w:r>
        <w:rPr>
          <w:rFonts w:ascii="Microsoft YaHei" w:eastAsia="Microsoft YaHei" w:hAnsi="Microsoft YaHei" w:cs="Microsoft YaHei"/>
          <w:color w:val="666666"/>
          <w:sz w:val="21"/>
          <w:szCs w:val="21"/>
        </w:rPr>
        <w:t>(自治区、直辖市)的生源情况，合理安排分省分专业招生计划。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预留计划比例及使用原则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普通类预留计划不超过招生计划总数的</w:t>
      </w:r>
      <w:r>
        <w:rPr>
          <w:rFonts w:ascii="Microsoft YaHei" w:eastAsia="Microsoft YaHei" w:hAnsi="Microsoft YaHei" w:cs="Microsoft YaHei"/>
          <w:color w:val="666666"/>
          <w:sz w:val="21"/>
          <w:szCs w:val="21"/>
        </w:rPr>
        <w:t>1%，用于调节各省（区、市）统考线上生源的不平衡和进档且服从专业调剂考生不易被退档等问题。预留计划使用坚持集体议事、集体决策、公开透明的原则。在招生录取过程中，对生源人数多、质量好的省（区、市）特别是符合上述条件的中西部地区，可适当调整招生计划，在相应录取批次投档前投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3.所招专业均无语种限制。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4.所招专业均无男女比例限制。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高考综合改革试点省（市）设置的招生专业计划，对选考科目的要求、综合素质评价档案的使用办法，以当地教育行政部门（或招生考试部门）及高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42"/>
        <w:gridCol w:w="2160"/>
        <w:gridCol w:w="690"/>
        <w:gridCol w:w="1110"/>
        <w:gridCol w:w="2580"/>
        <w:gridCol w:w="5098"/>
        <w:gridCol w:w="900"/>
        <w:gridCol w:w="15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  代码</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科类1       （非高考综合改革省份）</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科类2（采用“3+1+2”模式的高考综合改革省份）</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位门类</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     （元/年/生）</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西班牙语</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050209</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朝鲜语</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120208</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120414T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养老服务管理</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会展经济与管理</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130511T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新媒体艺术</w:t>
            </w:r>
          </w:p>
        </w:tc>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理工、文史或文理兼招</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本科学生学习期满，成绩合格颁发辽宁对外经贸学院普通高等学校本科毕业证书，达到辽宁对外经贸学院学位授予标准的颁发辽宁对外经贸学院学士学位证书。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学费均为</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30000元/人/学年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住宿费均为</w:t>
      </w:r>
      <w:r>
        <w:rPr>
          <w:rFonts w:ascii="Microsoft YaHei" w:eastAsia="Microsoft YaHei" w:hAnsi="Microsoft YaHei" w:cs="Microsoft YaHei"/>
          <w:color w:val="666666"/>
          <w:sz w:val="21"/>
          <w:szCs w:val="21"/>
        </w:rPr>
        <w:t>3000元/人/学年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w:t>
      </w:r>
      <w:r>
        <w:rPr>
          <w:rFonts w:ascii="Microsoft YaHei" w:eastAsia="Microsoft YaHei" w:hAnsi="Microsoft YaHei" w:cs="Microsoft YaHei"/>
          <w:color w:val="666666"/>
          <w:sz w:val="21"/>
          <w:szCs w:val="21"/>
        </w:rPr>
        <w:t>按照《辽宁省民办学校退费管理办法》（辽价发</w:t>
      </w:r>
      <w:r>
        <w:rPr>
          <w:rFonts w:ascii="Microsoft YaHei" w:eastAsia="Microsoft YaHei" w:hAnsi="Microsoft YaHei" w:cs="Microsoft YaHei"/>
          <w:color w:val="666666"/>
          <w:sz w:val="21"/>
          <w:szCs w:val="21"/>
        </w:rPr>
        <w:t>[2011]53号）相关规定办理退费。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学校为贫困生提供绿色通道，保证新生正常办理入学手续；为贫困生在校内提供勤工俭学岗位；奖学金、助学金设置情况：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w:t>
      </w:r>
      <w:r>
        <w:rPr>
          <w:rFonts w:ascii="Microsoft YaHei" w:eastAsia="Microsoft YaHei" w:hAnsi="Microsoft YaHei" w:cs="Microsoft YaHei"/>
          <w:color w:val="666666"/>
          <w:sz w:val="21"/>
          <w:szCs w:val="21"/>
        </w:rPr>
        <w:t>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w:t>
      </w:r>
      <w:r>
        <w:rPr>
          <w:rFonts w:ascii="Microsoft YaHei" w:eastAsia="Microsoft YaHei" w:hAnsi="Microsoft YaHei" w:cs="Microsoft YaHei"/>
          <w:color w:val="666666"/>
          <w:sz w:val="21"/>
          <w:szCs w:val="21"/>
        </w:rPr>
        <w:t>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w:t>
      </w:r>
      <w:r>
        <w:rPr>
          <w:rFonts w:ascii="Microsoft YaHei" w:eastAsia="Microsoft YaHei" w:hAnsi="Microsoft YaHei" w:cs="Microsoft YaHei"/>
          <w:color w:val="666666"/>
          <w:sz w:val="21"/>
          <w:szCs w:val="21"/>
        </w:rPr>
        <w:t>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w:t>
      </w:r>
      <w:r>
        <w:rPr>
          <w:rFonts w:ascii="Microsoft YaHei" w:eastAsia="Microsoft YaHei" w:hAnsi="Microsoft YaHei" w:cs="Microsoft YaHei"/>
          <w:color w:val="666666"/>
          <w:sz w:val="21"/>
          <w:szCs w:val="21"/>
        </w:rPr>
        <w:t>4400元/人/年   二等2750元/人/年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学业奖学金：一等</w:t>
      </w:r>
      <w:r>
        <w:rPr>
          <w:rFonts w:ascii="Microsoft YaHei" w:eastAsia="Microsoft YaHei" w:hAnsi="Microsoft YaHei" w:cs="Microsoft YaHei"/>
          <w:color w:val="666666"/>
          <w:sz w:val="21"/>
          <w:szCs w:val="21"/>
        </w:rPr>
        <w:t>3000元/人/年   二等2000元/人/年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三等1000元/人/年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学校助学金：一等</w:t>
      </w:r>
      <w:r>
        <w:rPr>
          <w:rFonts w:ascii="Microsoft YaHei" w:eastAsia="Microsoft YaHei" w:hAnsi="Microsoft YaHei" w:cs="Microsoft YaHei"/>
          <w:color w:val="666666"/>
          <w:sz w:val="21"/>
          <w:szCs w:val="21"/>
        </w:rPr>
        <w:t>2000元/人/年   二等1000元/人/年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单项奖学金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1）国家级一等奖：1500元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2）国家级二等奖：1200元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3）国家级三等奖：1000元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4）省级一等奖：900元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5）省级二等奖：800元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6）省级三等奖：700元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7）市级一等奖：600元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8）市级二等奖：500元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9）市级三等奖：400元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考研奖学金：</w:t>
      </w:r>
      <w:r>
        <w:rPr>
          <w:rFonts w:ascii="Microsoft YaHei" w:eastAsia="Microsoft YaHei" w:hAnsi="Microsoft YaHei" w:cs="Microsoft YaHei"/>
          <w:color w:val="666666"/>
          <w:sz w:val="21"/>
          <w:szCs w:val="21"/>
        </w:rPr>
        <w:t>5000元/人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新生奖学金：</w:t>
      </w:r>
      <w:r>
        <w:rPr>
          <w:rFonts w:ascii="Microsoft YaHei" w:eastAsia="Microsoft YaHei" w:hAnsi="Microsoft YaHei" w:cs="Microsoft YaHei"/>
          <w:color w:val="666666"/>
          <w:sz w:val="21"/>
          <w:szCs w:val="21"/>
        </w:rPr>
        <w:t>8000元/人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1.投档比例：各省</w:t>
      </w:r>
      <w:r>
        <w:rPr>
          <w:rFonts w:ascii="Microsoft YaHei" w:eastAsia="Microsoft YaHei" w:hAnsi="Microsoft YaHei" w:cs="Microsoft YaHei"/>
          <w:color w:val="666666"/>
          <w:sz w:val="21"/>
          <w:szCs w:val="21"/>
        </w:rPr>
        <w:t>投档比例</w:t>
      </w:r>
      <w:r>
        <w:rPr>
          <w:rFonts w:ascii="Microsoft YaHei" w:eastAsia="Microsoft YaHei" w:hAnsi="Microsoft YaHei" w:cs="Microsoft YaHei"/>
          <w:color w:val="666666"/>
          <w:sz w:val="21"/>
          <w:szCs w:val="21"/>
        </w:rPr>
        <w:t>为</w:t>
      </w:r>
      <w:r>
        <w:rPr>
          <w:rFonts w:ascii="Microsoft YaHei" w:eastAsia="Microsoft YaHei" w:hAnsi="Microsoft YaHei" w:cs="Microsoft YaHei"/>
          <w:color w:val="666666"/>
          <w:sz w:val="21"/>
          <w:szCs w:val="21"/>
        </w:rPr>
        <w:t>100%，</w:t>
      </w:r>
      <w:r>
        <w:rPr>
          <w:rFonts w:ascii="Microsoft YaHei" w:eastAsia="Microsoft YaHei" w:hAnsi="Microsoft YaHei" w:cs="Microsoft YaHei"/>
          <w:color w:val="666666"/>
          <w:sz w:val="21"/>
          <w:szCs w:val="21"/>
        </w:rPr>
        <w:t>有特殊要求的省份按照生源地省级招生考试部门的相关政策执行。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教育部、原卫生部、中国残疾人联合会最新印发的《普通高等学校招生体检工作指导意见》有关规定执行；入学后，学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3.各专业录取批次和投档原则按照各省级招生考试部门的规定执行。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4.实行高考改革省份，对采用</w:t>
      </w:r>
      <w:r>
        <w:rPr>
          <w:rFonts w:ascii="Microsoft YaHei" w:eastAsia="Microsoft YaHei" w:hAnsi="Microsoft YaHei" w:cs="Microsoft YaHei"/>
          <w:color w:val="666666"/>
          <w:sz w:val="21"/>
          <w:szCs w:val="21"/>
        </w:rPr>
        <w:t>3+3模式的省份，只有信息管理与信息系统专业选考科目中必选一门物理，其他专业不提科目要求。对采用3+1+2模式的省份，只有信息管理与信息系统专业首选科目为物理，其他专业首选科目物理或历史均可，再选科目不提科目要求。辽宁省2021年实行新高考改革，按物理学科类、历史学科类分列招生计划，分别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5.对高考加分学生的处理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认可教育部和各省（市、自治区）教育主管部门规定的全国性高考加分项目。对同一名考生的所有加分项目，只认可其中最高一项加分，且最高加分不超过</w:t>
      </w:r>
      <w:r>
        <w:rPr>
          <w:rFonts w:ascii="Microsoft YaHei" w:eastAsia="Microsoft YaHei" w:hAnsi="Microsoft YaHei" w:cs="Microsoft YaHei"/>
          <w:color w:val="666666"/>
          <w:sz w:val="21"/>
          <w:szCs w:val="21"/>
        </w:rPr>
        <w:t>20分。加分在投档、分专业时均适用。加分政策不适用于不做分省计划的特殊招生类型和教育部及地方教育主管部门明确规定不适用加分的情况。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6.普通类进档考生的专业安排办法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在综合考查考生德、智、体等水平的基础上，对于进档考生，</w:t>
      </w:r>
      <w:r>
        <w:rPr>
          <w:rFonts w:ascii="Microsoft YaHei" w:eastAsia="Microsoft YaHei" w:hAnsi="Microsoft YaHei" w:cs="Microsoft YaHei"/>
          <w:color w:val="666666"/>
          <w:sz w:val="21"/>
          <w:szCs w:val="21"/>
        </w:rPr>
        <w:t>依据考生的投档分（高考文化分加政策性加分），</w:t>
      </w:r>
      <w:r>
        <w:rPr>
          <w:rFonts w:ascii="Microsoft YaHei" w:eastAsia="Microsoft YaHei" w:hAnsi="Microsoft YaHei" w:cs="Microsoft YaHei"/>
          <w:color w:val="666666"/>
          <w:sz w:val="21"/>
          <w:szCs w:val="21"/>
        </w:rPr>
        <w:t>实行</w:t>
      </w:r>
      <w:r>
        <w:rPr>
          <w:rFonts w:ascii="Microsoft YaHei" w:eastAsia="Microsoft YaHei" w:hAnsi="Microsoft YaHei" w:cs="Microsoft YaHei"/>
          <w:color w:val="666666"/>
          <w:sz w:val="21"/>
          <w:szCs w:val="21"/>
        </w:rPr>
        <w:t>“分数优先、遵循考生志愿（专业志愿的优先级高于服从调剂志愿）、各专业志愿之间不设分数级差”的录取原则</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①对于有特殊要求的省份，按照该省级招生考试部门的规定进行专业录取。其中，内蒙古自治区进档考生采取“招生计划1：1范围内按专业志愿排队录取”的规则安排专业。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对于投档成绩相同的考生，按生源省份招考办文件要求，依次参考相应科目的成绩从高到低择优录取。若生源省份招考办文件对录取分相同的考生未明确要求参考的科目顺序：未实行高考综合改革的省份，文科考生依次参考语文、数学、外语单科成绩从高到低择优录取；理科考生依次参考数学、语文、外语单科成绩从高到低择优录取。如果考生服从专业调剂，学校可将考生调剂到招生计划尚未完成的专业，直至所有专业录满为止。实行高考综合改革的省份，优先录取顺序按其相关文件规定的同分处理办法执行</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w:t>
      </w:r>
      <w:r>
        <w:rPr>
          <w:rFonts w:ascii="Microsoft YaHei" w:eastAsia="Microsoft YaHei" w:hAnsi="Microsoft YaHei" w:cs="Microsoft YaHei"/>
          <w:color w:val="666666"/>
          <w:sz w:val="21"/>
          <w:szCs w:val="21"/>
        </w:rPr>
        <w:t>辽宁省考生需获得省级招考办颁发的艺术类专业考试合格证，并达到艺术类专业统考合格分数线和文化课成绩本科控制分数线，按照考生</w:t>
      </w:r>
      <w:r>
        <w:rPr>
          <w:rFonts w:ascii="Microsoft YaHei" w:eastAsia="Microsoft YaHei" w:hAnsi="Microsoft YaHei" w:cs="Microsoft YaHei"/>
          <w:color w:val="666666"/>
          <w:sz w:val="21"/>
          <w:szCs w:val="21"/>
        </w:rPr>
        <w:t>“文化课成绩(含高考加分)/2+专业课成绩(统考)”的综合成绩从高分到低分录取。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②内蒙古</w:t>
      </w:r>
      <w:r>
        <w:rPr>
          <w:rFonts w:ascii="Microsoft YaHei" w:eastAsia="Microsoft YaHei" w:hAnsi="Microsoft YaHei" w:cs="Microsoft YaHei"/>
          <w:color w:val="666666"/>
          <w:sz w:val="21"/>
          <w:szCs w:val="21"/>
        </w:rPr>
        <w:t>考生需达到艺术类专业统考合格分数线和文化课成绩录取控制分数线，按照考生文化课成绩（含政策性加分）成绩从高分到低分录取。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w:t>
      </w:r>
      <w:r>
        <w:rPr>
          <w:rFonts w:ascii="Microsoft YaHei" w:eastAsia="Microsoft YaHei" w:hAnsi="Microsoft YaHei" w:cs="Microsoft YaHei"/>
          <w:color w:val="666666"/>
          <w:sz w:val="21"/>
          <w:szCs w:val="21"/>
        </w:rPr>
        <w:t>其他省份艺术类考生的高考文化课成绩和专业课成绩需达到所在省（市、自治区）规定的艺术类控制分数线（合格线），并按照考生所在省（市、自治区）艺术类投档及录取原则执行。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w:t>
      </w:r>
      <w:r>
        <w:rPr>
          <w:rFonts w:ascii="Microsoft YaHei" w:eastAsia="Microsoft YaHei" w:hAnsi="Microsoft YaHei" w:cs="Microsoft YaHei"/>
          <w:color w:val="666666"/>
          <w:sz w:val="21"/>
          <w:szCs w:val="21"/>
        </w:rPr>
        <w:t>艺术类录取原则折算后综合成绩相同的考生，</w:t>
      </w:r>
      <w:r>
        <w:rPr>
          <w:rFonts w:ascii="Microsoft YaHei" w:eastAsia="Microsoft YaHei" w:hAnsi="Microsoft YaHei" w:cs="Microsoft YaHei"/>
          <w:color w:val="666666"/>
          <w:sz w:val="21"/>
          <w:szCs w:val="21"/>
        </w:rPr>
        <w:t>按生源省份招考办文件要求，依次参考相应科目的成绩从高到低择优录取。若生源省份招考办文件对录取分相同的考生未明确要求参考科目顺序的情况下，依次按照</w:t>
      </w:r>
      <w:r>
        <w:rPr>
          <w:rFonts w:ascii="Microsoft YaHei" w:eastAsia="Microsoft YaHei" w:hAnsi="Microsoft YaHei" w:cs="Microsoft YaHei"/>
          <w:color w:val="666666"/>
          <w:sz w:val="21"/>
          <w:szCs w:val="21"/>
        </w:rPr>
        <w:t>“专业课”、“语文”、“数学”、“外语”、“文（理）综合（或选考科目总分）”单科成绩从高分到低分录取。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0411-86209933、86208758、86208881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0411-86208998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址：</w:t>
      </w:r>
      <w:hyperlink r:id="rId4" w:history="1">
        <w:r>
          <w:rPr>
            <w:rFonts w:ascii="Microsoft YaHei" w:eastAsia="Microsoft YaHei" w:hAnsi="Microsoft YaHei" w:cs="Microsoft YaHei"/>
            <w:color w:val="666666"/>
            <w:sz w:val="21"/>
            <w:szCs w:val="21"/>
            <w:u w:val="single" w:color="666666"/>
          </w:rPr>
          <w:t>www.luibe.edu.cn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辽宁对外经贸学院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2021年4月26日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uibe.edu.cn/" TargetMode="External" /><Relationship Id="rId5" Type="http://schemas.openxmlformats.org/officeDocument/2006/relationships/hyperlink" Target="http://www.gk114.com/a/gxzs/zszc/liaoning/2021/0510/19591.html" TargetMode="External" /><Relationship Id="rId6" Type="http://schemas.openxmlformats.org/officeDocument/2006/relationships/hyperlink" Target="http://www.gk114.com/a/gxzs/zszc/liaoning/2021/0510/19593.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