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辽宁科技大学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67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67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1.</w:t>
      </w:r>
      <w:r>
        <w:rPr>
          <w:rFonts w:ascii="FangSong" w:eastAsia="FangSong" w:hAnsi="FangSong" w:cs="FangSong"/>
          <w:color w:val="666666"/>
          <w:sz w:val="21"/>
          <w:szCs w:val="21"/>
        </w:rPr>
        <w:t>高校名称（全称）：辽宁科技大学</w:t>
      </w:r>
    </w:p>
    <w:p>
      <w:pPr>
        <w:pBdr>
          <w:top w:val="none" w:sz="0" w:space="0" w:color="auto"/>
          <w:left w:val="none" w:sz="0" w:space="0" w:color="auto"/>
          <w:bottom w:val="none" w:sz="0" w:space="0" w:color="auto"/>
          <w:right w:val="none" w:sz="0" w:space="0" w:color="auto"/>
        </w:pBdr>
        <w:spacing w:before="0" w:after="0" w:line="67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2.</w:t>
      </w:r>
      <w:r>
        <w:rPr>
          <w:rFonts w:ascii="FangSong" w:eastAsia="FangSong" w:hAnsi="FangSong" w:cs="FangSong"/>
          <w:color w:val="666666"/>
          <w:sz w:val="21"/>
          <w:szCs w:val="21"/>
        </w:rPr>
        <w:t>办学地点及校址：</w:t>
      </w:r>
    </w:p>
    <w:p>
      <w:pPr>
        <w:pBdr>
          <w:top w:val="none" w:sz="0" w:space="0" w:color="auto"/>
          <w:left w:val="none" w:sz="0" w:space="0" w:color="auto"/>
          <w:bottom w:val="none" w:sz="0" w:space="0" w:color="auto"/>
          <w:right w:val="none" w:sz="0" w:space="0" w:color="auto"/>
        </w:pBdr>
        <w:spacing w:before="0" w:after="0" w:line="67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1"/>
          <w:szCs w:val="21"/>
        </w:rPr>
        <w:t>普通本科专业</w:t>
      </w:r>
      <w:r>
        <w:rPr>
          <w:rFonts w:ascii="FangSong" w:eastAsia="FangSong" w:hAnsi="FangSong" w:cs="FangSong"/>
          <w:color w:val="666666"/>
          <w:sz w:val="21"/>
          <w:szCs w:val="21"/>
        </w:rPr>
        <w:t>金融学、金融工程、国际经济与贸易、法学、英语、信息与计算科学、应用物理学、应用化学、机械工程、机械设计制造及其自动化、材料成型及控制工程、机械电子工程、工业设计、过程装备与控制工程、汽车服务工程、机械工艺技术、测控技术与仪器、材料科学与工程、材料化学、冶金工程、无机非金属材料工程、功能材料、能源与动力工程、电气工程及其自动化、电子信息工程、通信工程、光电信息科学与工程、自动化、计算机科学与技术、软件工程、网络工程、物联网工程、土木工程、建筑环境与能源应用工程、建筑电气与智能化</w:t>
      </w:r>
      <w:r>
        <w:rPr>
          <w:rFonts w:ascii="SimSun" w:eastAsia="SimSun" w:hAnsi="SimSun" w:cs="SimSun"/>
          <w:color w:val="666666"/>
          <w:sz w:val="21"/>
          <w:szCs w:val="21"/>
        </w:rPr>
        <w:t>、</w:t>
      </w:r>
      <w:r>
        <w:rPr>
          <w:rFonts w:ascii="FangSong" w:eastAsia="FangSong" w:hAnsi="FangSong" w:cs="FangSong"/>
          <w:color w:val="666666"/>
          <w:sz w:val="21"/>
          <w:szCs w:val="21"/>
        </w:rPr>
        <w:t>道路桥梁与渡河工程、测绘工程、化学工程与工艺、能源化学工程、采矿工程、矿物加工工程、环境工程、建筑学、生物工程、工程造价、工商管理、市场营销、会计学、财务管理、电子商务、旅游管理、音乐表演、舞蹈表演、表演、播音与主持艺术、动画、视觉传达设计、环境设计、产品设计</w:t>
      </w:r>
      <w:r>
        <w:rPr>
          <w:rFonts w:ascii="FangSong" w:eastAsia="FangSong" w:hAnsi="FangSong" w:cs="FangSong"/>
          <w:b/>
          <w:bCs/>
          <w:color w:val="666666"/>
          <w:sz w:val="21"/>
          <w:szCs w:val="21"/>
        </w:rPr>
        <w:t>在主校区办学：具体地址是辽宁省鞍山市高新区千山中路185—1号。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3.</w:t>
      </w:r>
      <w:r>
        <w:rPr>
          <w:rFonts w:ascii="FangSong" w:eastAsia="FangSong" w:hAnsi="FangSong" w:cs="FangSong"/>
          <w:color w:val="666666"/>
          <w:sz w:val="21"/>
          <w:szCs w:val="21"/>
        </w:rPr>
        <w:t>办学类型：普通高等学校（公办）。</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4.</w:t>
      </w:r>
      <w:r>
        <w:rPr>
          <w:rFonts w:ascii="FangSong" w:eastAsia="FangSong" w:hAnsi="FangSong" w:cs="FangSong"/>
          <w:color w:val="666666"/>
          <w:sz w:val="21"/>
          <w:szCs w:val="21"/>
        </w:rPr>
        <w:t>办学层次：本科。</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5</w:t>
      </w:r>
      <w:r>
        <w:rPr>
          <w:rFonts w:ascii="FangSong" w:eastAsia="FangSong" w:hAnsi="FangSong" w:cs="FangSong"/>
          <w:color w:val="666666"/>
          <w:sz w:val="21"/>
          <w:szCs w:val="21"/>
        </w:rPr>
        <w:t>.</w:t>
      </w:r>
      <w:r>
        <w:rPr>
          <w:rFonts w:ascii="FangSong" w:eastAsia="FangSong" w:hAnsi="FangSong" w:cs="FangSong"/>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6</w:t>
      </w:r>
      <w:r>
        <w:rPr>
          <w:rFonts w:ascii="FangSong" w:eastAsia="FangSong" w:hAnsi="FangSong" w:cs="FangSong"/>
          <w:color w:val="666666"/>
          <w:sz w:val="21"/>
          <w:szCs w:val="21"/>
        </w:rPr>
        <w:t>.</w:t>
      </w:r>
      <w:r>
        <w:rPr>
          <w:rFonts w:ascii="FangSong" w:eastAsia="FangSong" w:hAnsi="FangSong" w:cs="FangSong"/>
          <w:color w:val="666666"/>
          <w:sz w:val="21"/>
          <w:szCs w:val="21"/>
        </w:rPr>
        <w:t>主要办学条件：校园占地面积183.67828万平方米（约合2753.8亩）；生均教学行政用房面积17.7平方米；生均宿舍面积8.4平方米；生师比18:1；专任教师1216人，其中具有副高级职务教师占专任教师的比例为48.4%，具有研究生学位教师占专任教师的比例为81.4%；教学科研仪器设备总值26503.6万元，生均教学科研仪器设备值11798.5元；图书175.3万册，生均图书78.0册。</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1.</w:t>
      </w:r>
      <w:r>
        <w:rPr>
          <w:rFonts w:ascii="FangSong" w:eastAsia="FangSong" w:hAnsi="FangSong" w:cs="FangSong"/>
          <w:color w:val="666666"/>
          <w:sz w:val="21"/>
          <w:szCs w:val="21"/>
        </w:rPr>
        <w:t>学校招生计划分配原则和方法：</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学校招生计划依据国家经济社会发展的需要，结合自身办学条件、毕业生就业情况和各省（区、市）的生源情况，经学校招生录取工作领导小组研究确定各学科门类的培养规模和分专业招生计划，主要满足学校一流学科和重点支持学科的专业以及人才培养质量高、就业好的专业计划。</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2.</w:t>
      </w:r>
      <w:r>
        <w:rPr>
          <w:rFonts w:ascii="FangSong" w:eastAsia="FangSong" w:hAnsi="FangSong" w:cs="FangSong"/>
          <w:color w:val="666666"/>
          <w:sz w:val="21"/>
          <w:szCs w:val="21"/>
        </w:rPr>
        <w:t>预留计划比例和使用原则：</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学校预留本科计划，用于调节各地统考上线生源的不平衡情况。预留计划数不超过学校本科招生计划总数的1%。</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预留计划的使用，坚持集体议事、集体决策、公开透明的原则。在招生录取过程中，对生源人数多、质量好的省（区、市）特别是符合上述条件的中西部地区，可适当调整招生计划。在各批次投档前投入。</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3.</w:t>
      </w:r>
      <w:r>
        <w:rPr>
          <w:rFonts w:ascii="FangSong" w:eastAsia="FangSong" w:hAnsi="FangSong" w:cs="FangSong"/>
          <w:color w:val="666666"/>
          <w:sz w:val="21"/>
          <w:szCs w:val="21"/>
        </w:rPr>
        <w:t>有语种限制的专业及允许招生的语种：</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(1)</w:t>
      </w:r>
      <w:r>
        <w:rPr>
          <w:rFonts w:ascii="FangSong" w:eastAsia="FangSong" w:hAnsi="FangSong" w:cs="FangSong"/>
          <w:color w:val="666666"/>
          <w:sz w:val="21"/>
          <w:szCs w:val="21"/>
        </w:rPr>
        <w:t>英语专业只招英语语种考生，要求口试成绩优良。</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(2)</w:t>
      </w:r>
      <w:r>
        <w:rPr>
          <w:rFonts w:ascii="FangSong" w:eastAsia="FangSong" w:hAnsi="FangSong" w:cs="FangSong"/>
          <w:color w:val="666666"/>
          <w:sz w:val="21"/>
          <w:szCs w:val="21"/>
        </w:rPr>
        <w:t>信息与计算科学、计算机科学与技术、软件工程、网络工程、物联网工程、国际经济与贸易、音乐表演、舞蹈表演、表演、播音与主持艺术、动画、视觉传达设计、环境设计、产品设计、高职专科升本科软件工程专业、辽宁科技大学应用技术学院招收的中职升本科专业，学校外语课程只安排英语教学，其他语种考生慎报。</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4.</w:t>
      </w:r>
      <w:r>
        <w:rPr>
          <w:rFonts w:ascii="FangSong" w:eastAsia="FangSong" w:hAnsi="FangSong" w:cs="FangSong"/>
          <w:color w:val="666666"/>
          <w:sz w:val="21"/>
          <w:szCs w:val="21"/>
        </w:rPr>
        <w:t>我校招生无男女生比例要求。</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5.</w:t>
      </w:r>
      <w:r>
        <w:rPr>
          <w:rFonts w:ascii="FangSong" w:eastAsia="FangSong" w:hAnsi="FangSong" w:cs="FangSong"/>
          <w:color w:val="666666"/>
          <w:sz w:val="21"/>
          <w:szCs w:val="21"/>
        </w:rPr>
        <w:t>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学校招生计划严格按照辽宁省教育厅核准的分省分专业招生计划执行。</w:t>
      </w:r>
      <w:r>
        <w:rPr>
          <w:rFonts w:ascii="FangSong" w:eastAsia="FangSong" w:hAnsi="FangSong" w:cs="FangSong"/>
          <w:color w:val="666666"/>
          <w:sz w:val="21"/>
          <w:szCs w:val="21"/>
        </w:rPr>
        <w:br w:type="textWrapping" w:clear="all"/>
      </w:r>
      <w:r>
        <w:rPr>
          <w:rFonts w:ascii="FangSong" w:eastAsia="FangSong" w:hAnsi="FangSong" w:cs="FangSong"/>
          <w:b/>
          <w:bCs/>
          <w:color w:val="666666"/>
          <w:sz w:val="21"/>
          <w:szCs w:val="21"/>
        </w:rPr>
        <w:t>三、专业设置说明</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21"/>
          <w:szCs w:val="21"/>
        </w:rPr>
        <w:t>本科：</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050"/>
        <w:gridCol w:w="1427"/>
        <w:gridCol w:w="3205"/>
        <w:gridCol w:w="1030"/>
        <w:gridCol w:w="1608"/>
        <w:gridCol w:w="1675"/>
        <w:gridCol w:w="1745"/>
        <w:gridCol w:w="2465"/>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480"/>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序号</w:t>
            </w:r>
          </w:p>
        </w:tc>
        <w:tc>
          <w:tcPr>
            <w:tcW w:w="14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专业</w:t>
            </w:r>
          </w:p>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代码</w:t>
            </w:r>
          </w:p>
        </w:tc>
        <w:tc>
          <w:tcPr>
            <w:tcW w:w="321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专业名称</w:t>
            </w:r>
          </w:p>
        </w:tc>
        <w:tc>
          <w:tcPr>
            <w:tcW w:w="102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学制</w:t>
            </w:r>
          </w:p>
        </w:tc>
        <w:tc>
          <w:tcPr>
            <w:tcW w:w="170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学习年限</w:t>
            </w:r>
          </w:p>
        </w:tc>
        <w:tc>
          <w:tcPr>
            <w:tcW w:w="171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科类</w:t>
            </w:r>
          </w:p>
        </w:tc>
        <w:tc>
          <w:tcPr>
            <w:tcW w:w="132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授予学位门类</w:t>
            </w:r>
          </w:p>
        </w:tc>
        <w:tc>
          <w:tcPr>
            <w:tcW w:w="171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学费</w:t>
            </w:r>
          </w:p>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元/年/生)</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w:t>
            </w:r>
            <w:r>
              <w:rPr>
                <w:b w:val="0"/>
                <w:bCs w:val="0"/>
                <w:i w:val="0"/>
                <w:iCs w:val="0"/>
                <w:smallCaps w:val="0"/>
                <w:color w:val="666666"/>
                <w:sz w:val="14"/>
                <w:szCs w:val="14"/>
              </w:rPr>
              <w:t>     </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020301K</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金融学</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r>
              <w:rPr>
                <w:b w:val="0"/>
                <w:bCs w:val="0"/>
                <w:i w:val="0"/>
                <w:iCs w:val="0"/>
                <w:smallCaps w:val="0"/>
                <w:color w:val="666666"/>
                <w:sz w:val="14"/>
                <w:szCs w:val="14"/>
              </w:rPr>
              <w:t>     </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020302</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金融工程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b w:val="0"/>
                <w:bCs w:val="0"/>
                <w:i w:val="0"/>
                <w:iCs w:val="0"/>
                <w:smallCaps w:val="0"/>
                <w:color w:val="666666"/>
                <w:sz w:val="14"/>
                <w:szCs w:val="14"/>
              </w:rPr>
              <w:t>     </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020401</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国际经济与贸易</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r>
              <w:rPr>
                <w:b w:val="0"/>
                <w:bCs w:val="0"/>
                <w:i w:val="0"/>
                <w:iCs w:val="0"/>
                <w:smallCaps w:val="0"/>
                <w:color w:val="666666"/>
                <w:sz w:val="14"/>
                <w:szCs w:val="14"/>
              </w:rPr>
              <w:t>     </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030101K</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法学</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w:t>
            </w:r>
            <w:r>
              <w:rPr>
                <w:b w:val="0"/>
                <w:bCs w:val="0"/>
                <w:i w:val="0"/>
                <w:iCs w:val="0"/>
                <w:smallCaps w:val="0"/>
                <w:color w:val="666666"/>
                <w:sz w:val="14"/>
                <w:szCs w:val="14"/>
              </w:rPr>
              <w:t>     </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050201</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英语</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w:t>
            </w:r>
            <w:r>
              <w:rPr>
                <w:b w:val="0"/>
                <w:bCs w:val="0"/>
                <w:i w:val="0"/>
                <w:iCs w:val="0"/>
                <w:smallCaps w:val="0"/>
                <w:color w:val="666666"/>
                <w:sz w:val="14"/>
                <w:szCs w:val="14"/>
              </w:rPr>
              <w:t>     </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070102</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信息与计算科学</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w:t>
            </w:r>
            <w:r>
              <w:rPr>
                <w:b w:val="0"/>
                <w:bCs w:val="0"/>
                <w:i w:val="0"/>
                <w:iCs w:val="0"/>
                <w:smallCaps w:val="0"/>
                <w:color w:val="666666"/>
                <w:sz w:val="14"/>
                <w:szCs w:val="14"/>
              </w:rPr>
              <w:t>     </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070202</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应用物理学</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w:t>
            </w:r>
            <w:r>
              <w:rPr>
                <w:b w:val="0"/>
                <w:bCs w:val="0"/>
                <w:i w:val="0"/>
                <w:iCs w:val="0"/>
                <w:smallCaps w:val="0"/>
                <w:color w:val="666666"/>
                <w:sz w:val="14"/>
                <w:szCs w:val="14"/>
              </w:rPr>
              <w:t>     </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070302</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应用化学</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9</w:t>
            </w:r>
            <w:r>
              <w:rPr>
                <w:b w:val="0"/>
                <w:bCs w:val="0"/>
                <w:i w:val="0"/>
                <w:iCs w:val="0"/>
                <w:smallCaps w:val="0"/>
                <w:color w:val="666666"/>
                <w:sz w:val="14"/>
                <w:szCs w:val="14"/>
              </w:rPr>
              <w:t>     </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080201</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机械工程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080202</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机械设计制造及其自动化</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11</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080203</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材料成型及控制工程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080204</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机械电子工程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080205</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工业设计</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14</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080206</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过程装备与控制工程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15</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080208</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汽车服务工程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080209T</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机械工艺技术</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17</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080301</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测控技术与仪器</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18</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080401</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材料科学与工程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19</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080403</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材料化学</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20</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080404</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冶金工程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21</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080406</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无机非金属材料工程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22</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080412T</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功能材料</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23</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080501</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能源与动力工程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080601</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电气工程及其自动化</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080701</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电子信息工程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26</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080703</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通信工程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27</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080705</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光电信息科学与工程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28</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080801</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自动化</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29</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080901</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计算机科学与技术</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30</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080902</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软件工程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一二学年4600元/年</w:t>
            </w:r>
            <w:r>
              <w:rPr>
                <w:rFonts w:ascii="Arial" w:eastAsia="Arial" w:hAnsi="Arial" w:cs="Arial"/>
                <w:b w:val="0"/>
                <w:bCs w:val="0"/>
                <w:i w:val="0"/>
                <w:iCs w:val="0"/>
                <w:smallCaps w:val="0"/>
                <w:color w:val="666666"/>
                <w:spacing w:val="-15"/>
              </w:rPr>
              <w:t>•</w:t>
            </w:r>
            <w:r>
              <w:rPr>
                <w:rFonts w:ascii="FangSong" w:eastAsia="FangSong" w:hAnsi="FangSong" w:cs="FangSong"/>
                <w:b w:val="0"/>
                <w:bCs w:val="0"/>
                <w:i w:val="0"/>
                <w:iCs w:val="0"/>
                <w:smallCaps w:val="0"/>
                <w:color w:val="666666"/>
                <w:spacing w:val="-15"/>
              </w:rPr>
              <w:t>人，</w:t>
            </w:r>
          </w:p>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三四学年12700元/年</w:t>
            </w:r>
            <w:r>
              <w:rPr>
                <w:rFonts w:ascii="Arial" w:eastAsia="Arial" w:hAnsi="Arial" w:cs="Arial"/>
                <w:b w:val="0"/>
                <w:bCs w:val="0"/>
                <w:i w:val="0"/>
                <w:iCs w:val="0"/>
                <w:smallCaps w:val="0"/>
                <w:color w:val="666666"/>
                <w:spacing w:val="-15"/>
              </w:rPr>
              <w:t>•</w:t>
            </w:r>
            <w:r>
              <w:rPr>
                <w:rFonts w:ascii="FangSong" w:eastAsia="FangSong" w:hAnsi="FangSong" w:cs="FangSong"/>
                <w:b w:val="0"/>
                <w:bCs w:val="0"/>
                <w:i w:val="0"/>
                <w:iCs w:val="0"/>
                <w:smallCaps w:val="0"/>
                <w:color w:val="666666"/>
                <w:spacing w:val="-15"/>
              </w:rPr>
              <w:t>人</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31</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080903</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网络工程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一二学年4600元/年</w:t>
            </w:r>
            <w:r>
              <w:rPr>
                <w:rFonts w:ascii="Arial" w:eastAsia="Arial" w:hAnsi="Arial" w:cs="Arial"/>
                <w:b w:val="0"/>
                <w:bCs w:val="0"/>
                <w:i w:val="0"/>
                <w:iCs w:val="0"/>
                <w:smallCaps w:val="0"/>
                <w:color w:val="666666"/>
                <w:spacing w:val="-15"/>
              </w:rPr>
              <w:t>•</w:t>
            </w:r>
            <w:r>
              <w:rPr>
                <w:rFonts w:ascii="FangSong" w:eastAsia="FangSong" w:hAnsi="FangSong" w:cs="FangSong"/>
                <w:b w:val="0"/>
                <w:bCs w:val="0"/>
                <w:i w:val="0"/>
                <w:iCs w:val="0"/>
                <w:smallCaps w:val="0"/>
                <w:color w:val="666666"/>
                <w:spacing w:val="-15"/>
              </w:rPr>
              <w:t>人，</w:t>
            </w:r>
          </w:p>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三四学年12700元/年</w:t>
            </w:r>
            <w:r>
              <w:rPr>
                <w:rFonts w:ascii="Arial" w:eastAsia="Arial" w:hAnsi="Arial" w:cs="Arial"/>
                <w:b w:val="0"/>
                <w:bCs w:val="0"/>
                <w:i w:val="0"/>
                <w:iCs w:val="0"/>
                <w:smallCaps w:val="0"/>
                <w:color w:val="666666"/>
                <w:spacing w:val="-15"/>
              </w:rPr>
              <w:t>•</w:t>
            </w:r>
            <w:r>
              <w:rPr>
                <w:rFonts w:ascii="FangSong" w:eastAsia="FangSong" w:hAnsi="FangSong" w:cs="FangSong"/>
                <w:b w:val="0"/>
                <w:bCs w:val="0"/>
                <w:i w:val="0"/>
                <w:iCs w:val="0"/>
                <w:smallCaps w:val="0"/>
                <w:color w:val="666666"/>
                <w:spacing w:val="-15"/>
              </w:rPr>
              <w:t>人</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32</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080905</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物联网工程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33</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081001</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土木工程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34</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081002</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建筑环境与能源应用工程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081004</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建筑电气与智能化</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待批</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081006T</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道路桥梁与渡河工程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081201</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测绘工程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081301</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化学工程与工艺</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39</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081304T</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能源化学工程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081501</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采矿工程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41</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081503</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矿物加工工程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082502</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环境工程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43</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082801</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建筑学</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五年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4-9</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44</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083001</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生物工程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45</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120105</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工程造价</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46</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120201K</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工商管理</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47</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120202</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市场营销</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120203K</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会计学</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49</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120204</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财务管理</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120801</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电子商务</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51</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120901K</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旅游管理</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文史/理工</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52</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130201</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音乐表演</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艺术文/理</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53</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130204</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舞蹈表演</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艺术文/理</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54</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130301</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表演</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艺术文/理</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55</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130309</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播音与主持艺术</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艺术文/理</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56</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130310</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动画</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艺术文/理</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57</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130502</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视觉传达设计</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艺术文/理</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58</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130503</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环境设计</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艺术文/理</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10000</w:t>
            </w:r>
          </w:p>
        </w:tc>
      </w:tr>
      <w:tr>
        <w:tblPrEx>
          <w:tblW w:w="14325" w:type="dxa"/>
          <w:tblInd w:w="165" w:type="dxa"/>
          <w:tblCellMar>
            <w:top w:w="0" w:type="dxa"/>
            <w:left w:w="0" w:type="dxa"/>
            <w:bottom w:w="0" w:type="dxa"/>
            <w:right w:w="0" w:type="dxa"/>
          </w:tblCellMar>
        </w:tblPrEx>
        <w:trPr>
          <w:trHeight w:val="285"/>
        </w:trPr>
        <w:tc>
          <w:tcPr>
            <w:tcW w:w="7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42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59</w:t>
            </w:r>
            <w:r>
              <w:rPr>
                <w:rFonts w:ascii="Calibri" w:eastAsia="Calibri" w:hAnsi="Calibri" w:cs="Calibri"/>
                <w:b w:val="0"/>
                <w:bCs w:val="0"/>
                <w:i w:val="0"/>
                <w:iCs w:val="0"/>
                <w:smallCaps w:val="0"/>
                <w:color w:val="666666"/>
              </w:rPr>
              <w:t> </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130504</w:t>
            </w:r>
          </w:p>
        </w:tc>
        <w:tc>
          <w:tcPr>
            <w:tcW w:w="32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产品设计</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r>
              <w:rPr>
                <w:rFonts w:ascii="FangSong" w:eastAsia="FangSong" w:hAnsi="FangSong" w:cs="FangSong"/>
                <w:b w:val="0"/>
                <w:bCs w:val="0"/>
                <w:i w:val="0"/>
                <w:iCs w:val="0"/>
                <w:smallCaps w:val="0"/>
                <w:color w:val="666666"/>
              </w:rPr>
              <w:t>年</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艺术文/理</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10000</w:t>
            </w:r>
          </w:p>
        </w:tc>
      </w:tr>
    </w:tbl>
    <w:p>
      <w:pPr>
        <w:pBdr>
          <w:top w:val="none" w:sz="0" w:space="0" w:color="auto"/>
          <w:left w:val="none" w:sz="0" w:space="0" w:color="auto"/>
          <w:bottom w:val="none" w:sz="0" w:space="0" w:color="auto"/>
          <w:right w:val="none" w:sz="0" w:space="0" w:color="auto"/>
        </w:pBdr>
        <w:spacing w:before="0" w:after="0" w:line="855" w:lineRule="atLeast"/>
        <w:ind w:left="0" w:right="0" w:firstLine="645"/>
        <w:rPr>
          <w:rFonts w:ascii="Microsoft YaHei" w:eastAsia="Microsoft YaHei" w:hAnsi="Microsoft YaHei" w:cs="Microsoft YaHei"/>
          <w:color w:val="666666"/>
          <w:sz w:val="21"/>
          <w:szCs w:val="21"/>
        </w:rPr>
      </w:pPr>
      <w:r>
        <w:rPr>
          <w:rFonts w:ascii="Calibri" w:eastAsia="Calibri" w:hAnsi="Calibri" w:cs="Calibri"/>
          <w:b/>
          <w:bCs/>
          <w:color w:val="666666"/>
          <w:sz w:val="21"/>
          <w:szCs w:val="21"/>
        </w:rPr>
        <w:t> </w:t>
      </w:r>
    </w:p>
    <w:p>
      <w:pPr>
        <w:pBdr>
          <w:top w:val="none" w:sz="0" w:space="0" w:color="auto"/>
          <w:left w:val="none" w:sz="0" w:space="0" w:color="auto"/>
          <w:bottom w:val="none" w:sz="0" w:space="0" w:color="auto"/>
          <w:right w:val="none" w:sz="0" w:space="0" w:color="auto"/>
        </w:pBdr>
        <w:spacing w:before="0" w:after="0" w:line="9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9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本科学生学习期满，完成教学计划内全部课程且成绩合格颁发辽宁科技大学普通高等学校本科毕业证书，符合辽宁科技大学学士学位授予标准的颁发辽宁科技大学学士学位证书。</w:t>
      </w:r>
    </w:p>
    <w:p>
      <w:pPr>
        <w:pBdr>
          <w:top w:val="none" w:sz="0" w:space="0" w:color="auto"/>
          <w:left w:val="none" w:sz="0" w:space="0" w:color="auto"/>
          <w:bottom w:val="none" w:sz="0" w:space="0" w:color="auto"/>
          <w:right w:val="none" w:sz="0" w:space="0" w:color="auto"/>
        </w:pBdr>
        <w:spacing w:before="0" w:after="0" w:line="915"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21"/>
          <w:szCs w:val="21"/>
        </w:rPr>
        <w:t>具体按教育部、辽宁省教育厅规定执行。</w:t>
      </w:r>
    </w:p>
    <w:p>
      <w:pPr>
        <w:pBdr>
          <w:top w:val="none" w:sz="0" w:space="0" w:color="auto"/>
          <w:left w:val="none" w:sz="0" w:space="0" w:color="auto"/>
          <w:bottom w:val="none" w:sz="0" w:space="0" w:color="auto"/>
          <w:right w:val="none" w:sz="0" w:space="0" w:color="auto"/>
        </w:pBdr>
        <w:spacing w:before="0" w:after="0" w:line="9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9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1.</w:t>
      </w:r>
      <w:r>
        <w:rPr>
          <w:rFonts w:ascii="FangSong" w:eastAsia="FangSong" w:hAnsi="FangSong" w:cs="FangSong"/>
          <w:color w:val="666666"/>
          <w:sz w:val="21"/>
          <w:szCs w:val="21"/>
        </w:rPr>
        <w:t>学费和住宿费的收取标准</w:t>
      </w:r>
    </w:p>
    <w:p>
      <w:pPr>
        <w:pBdr>
          <w:top w:val="none" w:sz="0" w:space="0" w:color="auto"/>
          <w:left w:val="none" w:sz="0" w:space="0" w:color="auto"/>
          <w:bottom w:val="none" w:sz="0" w:space="0" w:color="auto"/>
          <w:right w:val="none" w:sz="0" w:space="0" w:color="auto"/>
        </w:pBdr>
        <w:spacing w:before="0" w:after="0" w:line="9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按照省物价部门批准的标准向学生收费。</w:t>
      </w:r>
    </w:p>
    <w:p>
      <w:pPr>
        <w:pBdr>
          <w:top w:val="none" w:sz="0" w:space="0" w:color="auto"/>
          <w:left w:val="none" w:sz="0" w:space="0" w:color="auto"/>
          <w:bottom w:val="none" w:sz="0" w:space="0" w:color="auto"/>
          <w:right w:val="none" w:sz="0" w:space="0" w:color="auto"/>
        </w:pBdr>
        <w:spacing w:before="0" w:after="0" w:line="9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各招生专业收取学费标准已在“三、专业设置说明”表中具体列明。</w:t>
      </w:r>
    </w:p>
    <w:p>
      <w:pPr>
        <w:pBdr>
          <w:top w:val="none" w:sz="0" w:space="0" w:color="auto"/>
          <w:left w:val="none" w:sz="0" w:space="0" w:color="auto"/>
          <w:bottom w:val="none" w:sz="0" w:space="0" w:color="auto"/>
          <w:right w:val="none" w:sz="0" w:space="0" w:color="auto"/>
        </w:pBdr>
        <w:spacing w:before="0" w:after="0" w:line="9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住宿费为每生每学年1000—1200元。</w:t>
      </w:r>
    </w:p>
    <w:p>
      <w:pPr>
        <w:pBdr>
          <w:top w:val="none" w:sz="0" w:space="0" w:color="auto"/>
          <w:left w:val="none" w:sz="0" w:space="0" w:color="auto"/>
          <w:bottom w:val="none" w:sz="0" w:space="0" w:color="auto"/>
          <w:right w:val="none" w:sz="0" w:space="0" w:color="auto"/>
        </w:pBdr>
        <w:spacing w:before="0" w:after="0" w:line="9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2.</w:t>
      </w:r>
      <w:r>
        <w:rPr>
          <w:rFonts w:ascii="FangSong" w:eastAsia="FangSong" w:hAnsi="FangSong" w:cs="FangSong"/>
          <w:color w:val="666666"/>
          <w:sz w:val="21"/>
          <w:szCs w:val="21"/>
        </w:rPr>
        <w:t>学费和住宿费的退费办法</w:t>
      </w:r>
    </w:p>
    <w:p>
      <w:pPr>
        <w:pBdr>
          <w:top w:val="none" w:sz="0" w:space="0" w:color="auto"/>
          <w:left w:val="none" w:sz="0" w:space="0" w:color="auto"/>
          <w:bottom w:val="none" w:sz="0" w:space="0" w:color="auto"/>
          <w:right w:val="none" w:sz="0" w:space="0" w:color="auto"/>
        </w:pBdr>
        <w:spacing w:before="0" w:after="0" w:line="9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学生因故退学或提前结束学业的，学校依据《教育部 国家发展改革委财政部关于进一步规范高校教育收费管理若干问题的通知》[教财2006 2号]，根据学生实际学习时间，按月计退剩余的学费</w:t>
      </w:r>
      <w:r>
        <w:rPr>
          <w:rFonts w:ascii="SimSun" w:eastAsia="SimSun" w:hAnsi="SimSun" w:cs="SimSun"/>
          <w:color w:val="666666"/>
          <w:sz w:val="21"/>
          <w:szCs w:val="21"/>
        </w:rPr>
        <w:t>和</w:t>
      </w:r>
      <w:r>
        <w:rPr>
          <w:rFonts w:ascii="FangSong" w:eastAsia="FangSong" w:hAnsi="FangSong" w:cs="FangSong"/>
          <w:color w:val="666666"/>
          <w:sz w:val="21"/>
          <w:szCs w:val="21"/>
        </w:rPr>
        <w:t>住宿费。</w:t>
      </w:r>
    </w:p>
    <w:p>
      <w:pPr>
        <w:pBdr>
          <w:top w:val="none" w:sz="0" w:space="0" w:color="auto"/>
          <w:left w:val="none" w:sz="0" w:space="0" w:color="auto"/>
          <w:bottom w:val="none" w:sz="0" w:space="0" w:color="auto"/>
          <w:right w:val="none" w:sz="0" w:space="0" w:color="auto"/>
        </w:pBdr>
        <w:spacing w:before="0" w:after="0" w:line="9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3.</w:t>
      </w:r>
      <w:r>
        <w:rPr>
          <w:rFonts w:ascii="FangSong" w:eastAsia="FangSong" w:hAnsi="FangSong" w:cs="FangSong"/>
          <w:color w:val="666666"/>
          <w:sz w:val="21"/>
          <w:szCs w:val="21"/>
        </w:rPr>
        <w:t>奖学金、助学金、国家助学贷款等扶贫助学的具体措施</w:t>
      </w:r>
    </w:p>
    <w:p>
      <w:pPr>
        <w:pBdr>
          <w:top w:val="none" w:sz="0" w:space="0" w:color="auto"/>
          <w:left w:val="none" w:sz="0" w:space="0" w:color="auto"/>
          <w:bottom w:val="none" w:sz="0" w:space="0" w:color="auto"/>
          <w:right w:val="none" w:sz="0" w:space="0" w:color="auto"/>
        </w:pBdr>
        <w:spacing w:before="0" w:after="0" w:line="9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国家奖学金：奖励学习成绩优异，综合素质高的优秀学生，由中央政府设立的奖学金，奖励金额8000元/年·人。</w:t>
      </w:r>
    </w:p>
    <w:p>
      <w:pPr>
        <w:pBdr>
          <w:top w:val="none" w:sz="0" w:space="0" w:color="auto"/>
          <w:left w:val="none" w:sz="0" w:space="0" w:color="auto"/>
          <w:bottom w:val="none" w:sz="0" w:space="0" w:color="auto"/>
          <w:right w:val="none" w:sz="0" w:space="0" w:color="auto"/>
        </w:pBdr>
        <w:spacing w:before="0" w:after="0" w:line="9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省政府奖学金：奖励学习成绩优异，综合素质高的优秀学生，由省政府设立的奖学金，奖励金额8000元/年·人。</w:t>
      </w:r>
    </w:p>
    <w:p>
      <w:pPr>
        <w:pBdr>
          <w:top w:val="none" w:sz="0" w:space="0" w:color="auto"/>
          <w:left w:val="none" w:sz="0" w:space="0" w:color="auto"/>
          <w:bottom w:val="none" w:sz="0" w:space="0" w:color="auto"/>
          <w:right w:val="none" w:sz="0" w:space="0" w:color="auto"/>
        </w:pBdr>
        <w:spacing w:before="0" w:after="0" w:line="9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国家励志奖学金：奖励品学兼优的家庭经济困难学生，由中央和地方政府共同出资设立的奖学金，奖励金额5000元/年·人。</w:t>
      </w:r>
    </w:p>
    <w:p>
      <w:pPr>
        <w:pBdr>
          <w:top w:val="none" w:sz="0" w:space="0" w:color="auto"/>
          <w:left w:val="none" w:sz="0" w:space="0" w:color="auto"/>
          <w:bottom w:val="none" w:sz="0" w:space="0" w:color="auto"/>
          <w:right w:val="none" w:sz="0" w:space="0" w:color="auto"/>
        </w:pBdr>
        <w:spacing w:before="0" w:after="0" w:line="9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国家助学金：困难学生可申请国家助学金，一等4000元/年·人；二等2500元/年·人。</w:t>
      </w:r>
    </w:p>
    <w:p>
      <w:pPr>
        <w:pBdr>
          <w:top w:val="none" w:sz="0" w:space="0" w:color="auto"/>
          <w:left w:val="none" w:sz="0" w:space="0" w:color="auto"/>
          <w:bottom w:val="none" w:sz="0" w:space="0" w:color="auto"/>
          <w:right w:val="none" w:sz="0" w:space="0" w:color="auto"/>
        </w:pBdr>
        <w:spacing w:before="0" w:after="0" w:line="9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优秀本科新生专项奖学金：一等10000元，二等5000元，三等3000元；</w:t>
      </w:r>
    </w:p>
    <w:p>
      <w:pPr>
        <w:pBdr>
          <w:top w:val="none" w:sz="0" w:space="0" w:color="auto"/>
          <w:left w:val="none" w:sz="0" w:space="0" w:color="auto"/>
          <w:bottom w:val="none" w:sz="0" w:space="0" w:color="auto"/>
          <w:right w:val="none" w:sz="0" w:space="0" w:color="auto"/>
        </w:pBdr>
        <w:spacing w:before="0" w:after="0" w:line="9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辽宁科技大学优秀学生奖学金：奖励德智体美全面发展的学生。设立标准为：一等奖学金3000元/年·人；二等奖学金1500元/年·人；三等奖学金1000元/年·人。</w:t>
      </w:r>
    </w:p>
    <w:p>
      <w:pPr>
        <w:pBdr>
          <w:top w:val="none" w:sz="0" w:space="0" w:color="auto"/>
          <w:left w:val="none" w:sz="0" w:space="0" w:color="auto"/>
          <w:bottom w:val="none" w:sz="0" w:space="0" w:color="auto"/>
          <w:right w:val="none" w:sz="0" w:space="0" w:color="auto"/>
        </w:pBdr>
        <w:spacing w:before="0" w:after="0" w:line="9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校外奖助学金：学校设立董事会奖学金等20余项校外奖助学金，奖励金额1000-10000元/年·人。</w:t>
      </w:r>
    </w:p>
    <w:p>
      <w:pPr>
        <w:pBdr>
          <w:top w:val="none" w:sz="0" w:space="0" w:color="auto"/>
          <w:left w:val="none" w:sz="0" w:space="0" w:color="auto"/>
          <w:bottom w:val="none" w:sz="0" w:space="0" w:color="auto"/>
          <w:right w:val="none" w:sz="0" w:space="0" w:color="auto"/>
        </w:pBdr>
        <w:spacing w:before="0" w:after="0" w:line="9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家庭经济困难学生可申请国家助学贷款，最高8000元/年·人。学校可为部分家庭经济困难学生提供勤工助学岗位，具体实施办法按学校有关规定执行。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为了公平公正，根据科大学发6号关于印发《辽宁科技大学优秀本科新生专项奖学金实施方法（试行）》的通知、学发[2017]5号关于印发《辽宁科技大学奖学金评比办法（修订）》的通知进行评审。</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21"/>
          <w:szCs w:val="21"/>
        </w:rPr>
        <w:t>六、国际交流与合作方面说明</w:t>
      </w:r>
      <w:r>
        <w:rPr>
          <w:rFonts w:ascii="Calibri" w:eastAsia="Calibri" w:hAnsi="Calibri" w:cs="Calibri"/>
          <w:b/>
          <w:bCs/>
          <w:color w:val="666666"/>
          <w:sz w:val="21"/>
          <w:szCs w:val="21"/>
        </w:rPr>
        <w:t> </w:t>
      </w:r>
      <w:r>
        <w:rPr>
          <w:rFonts w:ascii="FangSong" w:eastAsia="FangSong" w:hAnsi="FangSong" w:cs="FangSong"/>
          <w:b/>
          <w:bCs/>
          <w:color w:val="666666"/>
          <w:sz w:val="21"/>
          <w:szCs w:val="21"/>
        </w:rPr>
        <w:t xml:space="preserve"> 无。</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1.</w:t>
      </w:r>
      <w:r>
        <w:rPr>
          <w:rFonts w:ascii="FangSong" w:eastAsia="FangSong" w:hAnsi="FangSong" w:cs="FangSong"/>
          <w:color w:val="666666"/>
          <w:sz w:val="21"/>
          <w:szCs w:val="21"/>
        </w:rPr>
        <w:t>投档比例</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按顺序志愿投档的批次，投档比例原则上控制在各省（区、市）该批次招生计划的110%以内。按平行志愿投档的批次，调档比例原则上控制在各省（区、市）该批次招生计划的105%以内。具体按各省招生考试部门的要求执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2.</w:t>
      </w:r>
      <w:r>
        <w:rPr>
          <w:rFonts w:ascii="FangSong" w:eastAsia="FangSong" w:hAnsi="FangSong" w:cs="FangSong"/>
          <w:color w:val="666666"/>
          <w:sz w:val="21"/>
          <w:szCs w:val="21"/>
        </w:rPr>
        <w:t>身体健康状况要求</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对考生体检的要求按照教育部、卫生部、中国残疾人联合会印发的《普通高等学校招生体检工作指导意见》执行。入学后，我校将对新生身体健康状况进行复查，对复查后不能进行正常学习的，按学籍管理规定处理。</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3.</w:t>
      </w:r>
      <w:r>
        <w:rPr>
          <w:rFonts w:ascii="FangSong" w:eastAsia="FangSong" w:hAnsi="FangSong" w:cs="FangSong"/>
          <w:color w:val="666666"/>
          <w:sz w:val="21"/>
          <w:szCs w:val="21"/>
        </w:rPr>
        <w:t>院校志愿及录取</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普通类招生，我校2018年根据招生省（区、市）的要求决定是否实行平行志愿录取。在实行平行志愿录取的省（区、市），实行平行志愿投档录取模式；在不实行平行志愿录取的省（区、市），按考生报考院校志愿顺序录取，当第一志愿上线考生数不足计划招生数时，在同批录取学校控制分数线以上，按考生志愿顺序从高分到低分择优录取非第一志愿考生；当第一志愿上线考生数多于招生计划数时，不再调阅其他志愿考生档案。</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艺术类招生，所在批次，平行或顺序志愿投档录取模式，按有关省招生考试部门的规定执行（如在辽宁省招生的艺术类本科专业中，动画、视觉传达设计、环境设计、产品设计等美术类专业为艺术类本科批第一阶段平行志愿投档录取模式，音乐表演、舞蹈表演、表演、播音与主持艺术等非美术类专业为艺术类本科批第二阶段有序志愿投档录取模式）。</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4.</w:t>
      </w:r>
      <w:r>
        <w:rPr>
          <w:rFonts w:ascii="FangSong" w:eastAsia="FangSong" w:hAnsi="FangSong" w:cs="FangSong"/>
          <w:color w:val="666666"/>
          <w:sz w:val="21"/>
          <w:szCs w:val="21"/>
        </w:rPr>
        <w:t>对高考加分考生的处理</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根据教育部文件精神，我校在录取中执行各省招考委关于高考加分考生以及同等条件下优先录取等照顾录取规定。对高考加分考生，按高考文化课成绩加政策性加分后的分数安排专业。</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5.</w:t>
      </w:r>
      <w:r>
        <w:rPr>
          <w:rFonts w:ascii="FangSong" w:eastAsia="FangSong" w:hAnsi="FangSong" w:cs="FangSong"/>
          <w:color w:val="666666"/>
          <w:sz w:val="21"/>
          <w:szCs w:val="21"/>
        </w:rPr>
        <w:t>普通类专业进档考生的专业安排办法</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(1)</w:t>
      </w:r>
      <w:r>
        <w:rPr>
          <w:rFonts w:ascii="FangSong" w:eastAsia="FangSong" w:hAnsi="FangSong" w:cs="FangSong"/>
          <w:color w:val="666666"/>
          <w:sz w:val="21"/>
          <w:szCs w:val="21"/>
        </w:rPr>
        <w:t>部分专业的录取条件：</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英语专业要求英语单科成绩原则上不低于100分；信息与计算科学专业，要求数学单科成绩原则上不低于90分；建筑学专业要求考生有一定的绘画基础。软件工程、网络工程专业第三、四年学费为每生每学年12700元，属学费较高类专业，在录取时只录取有上述专业志愿的考生，不调剂录取填报普通学费专业志愿的考生。</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(2)</w:t>
      </w:r>
      <w:r>
        <w:rPr>
          <w:rFonts w:ascii="FangSong" w:eastAsia="FangSong" w:hAnsi="FangSong" w:cs="FangSong"/>
          <w:color w:val="666666"/>
          <w:sz w:val="21"/>
          <w:szCs w:val="21"/>
        </w:rPr>
        <w:t>普通类专业安排办法:</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我校实行专业志愿优先办法录取，即根据考生高考文化课成绩（含政策性加分），按照考生所报专业志愿顺序实行专业级差录取（招生省有明确规定的除外，以招生省的录取规定为学校录取原则，其中内蒙古实行“招生计划1:1范围内按专业志愿排队录取”的录取原则，浙江省、上海市以公布的2018年普通高校招生录取工作方案为准）。专业志愿级差为2分，在第一至第六个专业志愿间实行，有专业志愿优于调剂志愿。</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在各专业录取时，如考生录取等效分数相同时，优先录取高考文化课成绩（含政策性加分）高的考生；在高考文化课成绩（含政策性加分）相同时，优先录取相关科目分数高的考生，相关科目的比较顺序是理工类专业依次比较“数学”、“语文”、“外语”；文史类专业依次比较 “语文”、“数学”、“外语”；如仍相同，则审核考生档案，择优录取。</w:t>
      </w:r>
    </w:p>
    <w:p>
      <w:pPr>
        <w:pBdr>
          <w:top w:val="none" w:sz="0" w:space="0" w:color="auto"/>
          <w:left w:val="none" w:sz="0" w:space="0" w:color="auto"/>
          <w:bottom w:val="none" w:sz="0" w:space="0" w:color="auto"/>
          <w:right w:val="none" w:sz="0" w:space="0" w:color="auto"/>
        </w:pBdr>
        <w:spacing w:before="0" w:after="0" w:line="70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21"/>
          <w:szCs w:val="21"/>
        </w:rPr>
        <w:t>(3)</w:t>
      </w:r>
      <w:r>
        <w:rPr>
          <w:rFonts w:ascii="FangSong" w:eastAsia="FangSong" w:hAnsi="FangSong" w:cs="FangSong"/>
          <w:color w:val="666666"/>
          <w:sz w:val="21"/>
          <w:szCs w:val="21"/>
        </w:rPr>
        <w:t>违规考生的处理</w:t>
      </w:r>
    </w:p>
    <w:p>
      <w:pPr>
        <w:pBdr>
          <w:top w:val="none" w:sz="0" w:space="0" w:color="auto"/>
          <w:left w:val="none" w:sz="0" w:space="0" w:color="auto"/>
          <w:bottom w:val="none" w:sz="0" w:space="0" w:color="auto"/>
          <w:right w:val="none" w:sz="0" w:space="0" w:color="auto"/>
        </w:pBdr>
        <w:spacing w:before="0" w:after="0" w:line="705" w:lineRule="atLeast"/>
        <w:ind w:left="0" w:right="0" w:firstLine="46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入学后，经复查有违反招生规定或舞弊行为及身体条件不符合有关规定者将取消入学资格。</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6.</w:t>
      </w:r>
      <w:r>
        <w:rPr>
          <w:rFonts w:ascii="FangSong" w:eastAsia="FangSong" w:hAnsi="FangSong" w:cs="FangSong"/>
          <w:color w:val="666666"/>
          <w:sz w:val="21"/>
          <w:szCs w:val="21"/>
        </w:rPr>
        <w:t>艺术类专业录取办法</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我校201</w:t>
      </w:r>
      <w:r>
        <w:rPr>
          <w:rFonts w:ascii="FangSong" w:eastAsia="FangSong" w:hAnsi="FangSong" w:cs="FangSong"/>
          <w:color w:val="666666"/>
          <w:sz w:val="21"/>
          <w:szCs w:val="21"/>
        </w:rPr>
        <w:t>8</w:t>
      </w:r>
      <w:r>
        <w:rPr>
          <w:rFonts w:ascii="FangSong" w:eastAsia="FangSong" w:hAnsi="FangSong" w:cs="FangSong"/>
          <w:color w:val="666666"/>
          <w:sz w:val="21"/>
          <w:szCs w:val="21"/>
        </w:rPr>
        <w:t>年艺术类专业招生工作程序、校考日程安排等严格按照教育部、有关省招生考试部门的规定执行，详见学校艺术类专业招生简章。</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(1)</w:t>
      </w:r>
      <w:r>
        <w:rPr>
          <w:rFonts w:ascii="FangSong" w:eastAsia="FangSong" w:hAnsi="FangSong" w:cs="FangSong"/>
          <w:color w:val="666666"/>
          <w:sz w:val="21"/>
          <w:szCs w:val="21"/>
        </w:rPr>
        <w:t>报考条件：</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凡按艺术类专业招生计划报考我校的考生，须参加全国普通高校招生考试且本省艺术专业统考考试成绩合格（无统考专业除外），有校考的省份须校考成绩合格。</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1</w:t>
      </w:r>
      <w:r>
        <w:rPr>
          <w:rFonts w:ascii="FangSong" w:eastAsia="FangSong" w:hAnsi="FangSong" w:cs="FangSong"/>
          <w:color w:val="666666"/>
          <w:sz w:val="21"/>
          <w:szCs w:val="21"/>
        </w:rPr>
        <w:t>）有校考的省份，考生报考有校考的艺术类专业，报考考生须参加我校组织的艺术类专业考试，校考专业课成绩合格，才能报考，否则，不能报考。录取时，采用校考专业课成绩计算录取分数。</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2</w:t>
      </w:r>
      <w:r>
        <w:rPr>
          <w:rFonts w:ascii="FangSong" w:eastAsia="FangSong" w:hAnsi="FangSong" w:cs="FangSong"/>
          <w:color w:val="666666"/>
          <w:sz w:val="21"/>
          <w:szCs w:val="21"/>
        </w:rPr>
        <w:t>）无校考的省份，考生报考无校考的艺术类专业，报考考生须与我校艺术类专业及计划对应的省艺术类专业统考成绩合格，才能报考，否则，不能报考。录取时，采用统考专业课成绩计算录取分数。</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3</w:t>
      </w:r>
      <w:r>
        <w:rPr>
          <w:rFonts w:ascii="FangSong" w:eastAsia="FangSong" w:hAnsi="FangSong" w:cs="FangSong"/>
          <w:color w:val="666666"/>
          <w:sz w:val="21"/>
          <w:szCs w:val="21"/>
        </w:rPr>
        <w:t>）辽宁省按艺术类专业统考成绩报考我校的考生，所报专业对应的本省艺术类专业统考类别、招考专业及方向、成绩专门化等需满足下列具体要求：动画、视觉传达设计、环境设计、产品设计专业对应省统考类别为美术类，统考专业为美术类，招考专业方向为美术类，成绩专门化要求为美术类。音乐表演专业对应省统考类别为音乐舞蹈类，对应专业为音乐表演，对应招考专业方向为声乐演唱方向，成绩专门化要求为流行、美声、民声（J1流行、J2美声、J3民声，任意一项均可）。舞蹈表演专业对应省统考类别为音乐舞蹈类，对应招考专业及方向为舞蹈表演，成绩专门化要求为中国民间舞。播音与主持艺术专业对应省统考类别为戏剧与影视学类，对应的招考专业及方向为播音与主持艺术，成绩专门化要求为播音与主持艺术。</w:t>
      </w:r>
      <w:r>
        <w:rPr>
          <w:rFonts w:ascii="Calibri" w:eastAsia="Calibri" w:hAnsi="Calibri" w:cs="Calibri"/>
          <w:color w:val="666666"/>
          <w:sz w:val="21"/>
          <w:szCs w:val="21"/>
        </w:rPr>
        <w:t> </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4</w:t>
      </w:r>
      <w:r>
        <w:rPr>
          <w:rFonts w:ascii="FangSong" w:eastAsia="FangSong" w:hAnsi="FangSong" w:cs="FangSong"/>
          <w:color w:val="666666"/>
          <w:sz w:val="21"/>
          <w:szCs w:val="21"/>
        </w:rPr>
        <w:t>）有艺术类招生计划的省份在征集志愿录取时，按照有关省招生部门的规定执行。</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(2)</w:t>
      </w:r>
      <w:r>
        <w:rPr>
          <w:rFonts w:ascii="FangSong" w:eastAsia="FangSong" w:hAnsi="FangSong" w:cs="FangSong"/>
          <w:color w:val="666666"/>
          <w:sz w:val="21"/>
          <w:szCs w:val="21"/>
        </w:rPr>
        <w:t>进档考生专业安排办法:</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1"/>
          <w:szCs w:val="21"/>
        </w:rPr>
        <w:t>美术类专业（辽宁省除外）</w:t>
      </w:r>
      <w:r>
        <w:rPr>
          <w:rFonts w:ascii="FangSong" w:eastAsia="FangSong" w:hAnsi="FangSong" w:cs="FangSong"/>
          <w:color w:val="666666"/>
          <w:sz w:val="21"/>
          <w:szCs w:val="21"/>
        </w:rPr>
        <w:t>的动画、视觉传达设计、环境设计、产品设计专业实行专业志愿优先办法录取，报考考生须专业课成绩合格且文化课成绩达到本省艺术类专业录取最低控制分数线以上，符合我校的报考条件，以考生文化课成绩（含政策性加分）×40%+专业课成绩×60%计算的综合分（保留1位小数）为录取基准成绩，根据考生所报专业志愿实行专业级差录取，专业级差1分</w:t>
      </w:r>
      <w:r>
        <w:rPr>
          <w:rFonts w:ascii="SimSun" w:eastAsia="SimSun" w:hAnsi="SimSun" w:cs="SimSun"/>
          <w:color w:val="666666"/>
          <w:sz w:val="21"/>
          <w:szCs w:val="21"/>
        </w:rPr>
        <w:t>，</w:t>
      </w:r>
      <w:r>
        <w:rPr>
          <w:rFonts w:ascii="FangSong" w:eastAsia="FangSong" w:hAnsi="FangSong" w:cs="FangSong"/>
          <w:color w:val="666666"/>
          <w:sz w:val="21"/>
          <w:szCs w:val="21"/>
        </w:rPr>
        <w:t>在第一至第四个专业志愿间实行，有专业志愿优于调剂志愿。</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1"/>
          <w:szCs w:val="21"/>
        </w:rPr>
        <w:t>音乐表演、舞蹈表演、表演、播音与主持艺术</w:t>
      </w:r>
      <w:r>
        <w:rPr>
          <w:rFonts w:ascii="FangSong" w:eastAsia="FangSong" w:hAnsi="FangSong" w:cs="FangSong"/>
          <w:color w:val="666666"/>
          <w:sz w:val="21"/>
          <w:szCs w:val="21"/>
        </w:rPr>
        <w:t>专业实行分数优先办法录取，报考考生须专业课成绩合格且文化课成绩达到本省艺术类录取最低控制分数线以上，符合我校的报考条件，以考生文化课成绩（含政策性加分）×30%+专业课成绩×70%计算的综合分（保留1位小数）为录取基准成绩，按照考生所报专业志愿，从高分到低分按计划择优录取。</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在各艺术类专业录取时，如考生录取等效分数相同时，优先录取折算后综合分（保留1位小数）高的考生；在折算后的综合分（保留1位小数）相同时，优先录取高考文化课成绩（含政策性加分）分数高的考生；在高考文化课成绩（含政策性加分）相同时，优先录取相关科目分数高的考生，相关科目的比较顺序是艺术理专业依次比较“数学”、“</w:t>
      </w:r>
      <w:r>
        <w:rPr>
          <w:rFonts w:ascii="SimSun" w:eastAsia="SimSun" w:hAnsi="SimSun" w:cs="SimSun"/>
          <w:color w:val="666666"/>
          <w:sz w:val="21"/>
          <w:szCs w:val="21"/>
        </w:rPr>
        <w:t>语文</w:t>
      </w:r>
      <w:r>
        <w:rPr>
          <w:rFonts w:ascii="FangSong" w:eastAsia="FangSong" w:hAnsi="FangSong" w:cs="FangSong"/>
          <w:color w:val="666666"/>
          <w:sz w:val="21"/>
          <w:szCs w:val="21"/>
        </w:rPr>
        <w:t>”、“外语”；艺术文专业依次比较“语文”、“</w:t>
      </w:r>
      <w:r>
        <w:rPr>
          <w:rFonts w:ascii="SimSun" w:eastAsia="SimSun" w:hAnsi="SimSun" w:cs="SimSun"/>
          <w:color w:val="666666"/>
          <w:sz w:val="21"/>
          <w:szCs w:val="21"/>
        </w:rPr>
        <w:t>数学</w:t>
      </w:r>
      <w:r>
        <w:rPr>
          <w:rFonts w:ascii="FangSong" w:eastAsia="FangSong" w:hAnsi="FangSong" w:cs="FangSong"/>
          <w:color w:val="666666"/>
          <w:sz w:val="21"/>
          <w:szCs w:val="21"/>
        </w:rPr>
        <w:t>”、“外语”。</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1"/>
          <w:szCs w:val="21"/>
        </w:rPr>
        <w:t>辽宁省美术类专业</w:t>
      </w:r>
      <w:r>
        <w:rPr>
          <w:rFonts w:ascii="SimSun" w:eastAsia="SimSun" w:hAnsi="SimSun" w:cs="SimSun"/>
          <w:b/>
          <w:bCs/>
          <w:color w:val="666666"/>
          <w:sz w:val="21"/>
          <w:szCs w:val="21"/>
        </w:rPr>
        <w:t>的</w:t>
      </w:r>
      <w:r>
        <w:rPr>
          <w:rFonts w:ascii="FangSong" w:eastAsia="FangSong" w:hAnsi="FangSong" w:cs="FangSong"/>
          <w:color w:val="666666"/>
          <w:sz w:val="21"/>
          <w:szCs w:val="21"/>
        </w:rPr>
        <w:t>动画、视觉传达设计、环境设计、产品设计专业实行专业志愿优先办法录取，报考考生须专业课成绩合格且文化课成绩达到本省艺术类专业录取最低控制分数线以上，符合我校的报考条件，以考生“文化课成绩（含高考加分）/2+专业课成绩（统考）”形成的综合成绩（保留1位小数）为录取基准成绩，根据考生所报专业志愿顺序实行专业级差录取，专业级差1分，在第一至第四个专业志愿间实行，有专业志愿优于调剂志愿。</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我校艺术类专业所在招生省份有统一的录取规定及原则与上述学校录取原则不一致时，以招生省份的录取规定及原则为学校录取原则。</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(5)</w:t>
      </w:r>
      <w:r>
        <w:rPr>
          <w:rFonts w:ascii="FangSong" w:eastAsia="FangSong" w:hAnsi="FangSong" w:cs="FangSong"/>
          <w:color w:val="666666"/>
          <w:sz w:val="21"/>
          <w:szCs w:val="21"/>
        </w:rPr>
        <w:t>违规考生的处理</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入学后，经复查有违反招生规定或舞弊行为及身体条件不符合有关规定者将取消入学资格。</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7.</w:t>
      </w:r>
      <w:r>
        <w:rPr>
          <w:rFonts w:ascii="FangSong" w:eastAsia="FangSong" w:hAnsi="FangSong" w:cs="FangSong"/>
          <w:color w:val="666666"/>
          <w:sz w:val="21"/>
          <w:szCs w:val="21"/>
        </w:rPr>
        <w:t>联系电话、网址</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招生咨询电话：0412－5929092/6，电子邮件：a5929096@126.com，网址：http://www.ustl.edu.cn。</w:t>
      </w:r>
    </w:p>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1"/>
          <w:szCs w:val="21"/>
        </w:rPr>
        <w:t> </w:t>
      </w:r>
    </w:p>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1"/>
          <w:szCs w:val="21"/>
        </w:rPr>
        <w:t>                                   </w:t>
      </w:r>
      <w:r>
        <w:rPr>
          <w:rFonts w:ascii="FangSong" w:eastAsia="FangSong" w:hAnsi="FangSong" w:cs="FangSong"/>
          <w:color w:val="666666"/>
          <w:sz w:val="21"/>
          <w:szCs w:val="21"/>
        </w:rPr>
        <w:t xml:space="preserve"> </w:t>
      </w:r>
      <w:r>
        <w:rPr>
          <w:rFonts w:ascii="Calibri" w:eastAsia="Calibri" w:hAnsi="Calibri" w:cs="Calibri"/>
          <w:color w:val="666666"/>
          <w:sz w:val="21"/>
          <w:szCs w:val="21"/>
        </w:rPr>
        <w:t> </w:t>
      </w:r>
    </w:p>
    <w:p>
      <w:pPr>
        <w:pBdr>
          <w:top w:val="none" w:sz="0" w:space="0" w:color="auto"/>
          <w:left w:val="none" w:sz="0" w:space="0" w:color="auto"/>
          <w:bottom w:val="none" w:sz="0" w:space="0" w:color="auto"/>
          <w:right w:val="none" w:sz="0" w:space="0" w:color="auto"/>
        </w:pBdr>
        <w:spacing w:before="0" w:after="0" w:line="600" w:lineRule="atLeast"/>
        <w:ind w:left="0" w:right="0" w:firstLine="6240"/>
        <w:rPr>
          <w:rFonts w:ascii="Microsoft YaHei" w:eastAsia="Microsoft YaHei" w:hAnsi="Microsoft YaHei" w:cs="Microsoft YaHei"/>
          <w:color w:val="666666"/>
          <w:sz w:val="21"/>
          <w:szCs w:val="21"/>
        </w:rPr>
      </w:pPr>
      <w:r>
        <w:rPr>
          <w:rFonts w:ascii="Calibri" w:eastAsia="Calibri" w:hAnsi="Calibri" w:cs="Calibri"/>
          <w:color w:val="666666"/>
          <w:sz w:val="21"/>
          <w:szCs w:val="21"/>
        </w:rPr>
        <w:t> </w:t>
      </w:r>
      <w:r>
        <w:rPr>
          <w:rFonts w:ascii="FangSong" w:eastAsia="FangSong" w:hAnsi="FangSong" w:cs="FangSong"/>
          <w:color w:val="666666"/>
          <w:sz w:val="21"/>
          <w:szCs w:val="21"/>
        </w:rPr>
        <w:t xml:space="preserve"> </w:t>
      </w:r>
      <w:r>
        <w:rPr>
          <w:rFonts w:ascii="Calibri" w:eastAsia="Calibri" w:hAnsi="Calibri" w:cs="Calibri"/>
          <w:color w:val="666666"/>
          <w:sz w:val="21"/>
          <w:szCs w:val="21"/>
        </w:rPr>
        <w:t> </w:t>
      </w:r>
      <w:r>
        <w:rPr>
          <w:rFonts w:ascii="FangSong" w:eastAsia="FangSong" w:hAnsi="FangSong" w:cs="FangSong"/>
          <w:color w:val="666666"/>
          <w:sz w:val="21"/>
          <w:szCs w:val="21"/>
        </w:rPr>
        <w:t xml:space="preserve"> </w:t>
      </w:r>
      <w:r>
        <w:rPr>
          <w:rFonts w:ascii="Calibri" w:eastAsia="Calibri" w:hAnsi="Calibri" w:cs="Calibri"/>
          <w:color w:val="666666"/>
          <w:sz w:val="21"/>
          <w:szCs w:val="21"/>
        </w:rPr>
        <w:t> </w:t>
      </w:r>
      <w:r>
        <w:rPr>
          <w:rFonts w:ascii="FangSong" w:eastAsia="FangSong" w:hAnsi="FangSong" w:cs="FangSong"/>
          <w:color w:val="666666"/>
          <w:sz w:val="21"/>
          <w:szCs w:val="21"/>
        </w:rPr>
        <w:t xml:space="preserve"> </w:t>
      </w:r>
      <w:r>
        <w:rPr>
          <w:rFonts w:ascii="Calibri" w:eastAsia="Calibri" w:hAnsi="Calibri" w:cs="Calibri"/>
          <w:color w:val="666666"/>
          <w:sz w:val="21"/>
          <w:szCs w:val="21"/>
        </w:rPr>
        <w:t> </w:t>
      </w:r>
      <w:r>
        <w:rPr>
          <w:rFonts w:ascii="FangSong" w:eastAsia="FangSong" w:hAnsi="FangSong" w:cs="FangSong"/>
          <w:color w:val="666666"/>
          <w:sz w:val="21"/>
          <w:szCs w:val="21"/>
        </w:rPr>
        <w:t xml:space="preserve"> </w:t>
      </w:r>
      <w:r>
        <w:rPr>
          <w:rFonts w:ascii="Calibri" w:eastAsia="Calibri" w:hAnsi="Calibri" w:cs="Calibri"/>
          <w:color w:val="666666"/>
          <w:sz w:val="21"/>
          <w:szCs w:val="21"/>
        </w:rPr>
        <w:t> </w:t>
      </w:r>
      <w:r>
        <w:rPr>
          <w:rFonts w:ascii="FangSong" w:eastAsia="FangSong" w:hAnsi="FangSong" w:cs="FangSong"/>
          <w:color w:val="666666"/>
          <w:sz w:val="21"/>
          <w:szCs w:val="21"/>
        </w:rPr>
        <w:t xml:space="preserve"> </w:t>
      </w:r>
      <w:r>
        <w:rPr>
          <w:rFonts w:ascii="Calibri" w:eastAsia="Calibri" w:hAnsi="Calibri" w:cs="Calibri"/>
          <w:color w:val="666666"/>
          <w:sz w:val="21"/>
          <w:szCs w:val="21"/>
        </w:rPr>
        <w:t> </w:t>
      </w:r>
      <w:r>
        <w:rPr>
          <w:rFonts w:ascii="FangSong" w:eastAsia="FangSong" w:hAnsi="FangSong" w:cs="FangSong"/>
          <w:color w:val="666666"/>
          <w:sz w:val="21"/>
          <w:szCs w:val="21"/>
        </w:rPr>
        <w:t xml:space="preserve"> </w:t>
      </w:r>
      <w:r>
        <w:rPr>
          <w:rFonts w:ascii="Calibri" w:eastAsia="Calibri" w:hAnsi="Calibri" w:cs="Calibri"/>
          <w:color w:val="666666"/>
          <w:sz w:val="21"/>
          <w:szCs w:val="21"/>
        </w:rPr>
        <w:t> </w:t>
      </w:r>
      <w:r>
        <w:rPr>
          <w:rFonts w:ascii="FangSong" w:eastAsia="FangSong" w:hAnsi="FangSong" w:cs="FangSong"/>
          <w:color w:val="666666"/>
          <w:sz w:val="21"/>
          <w:szCs w:val="21"/>
        </w:rPr>
        <w:t>辽宁科技大学</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沈阳理工大学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辽宁石油化工大学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401/22038.html" TargetMode="External" /><Relationship Id="rId13" Type="http://schemas.openxmlformats.org/officeDocument/2006/relationships/hyperlink" Target="http://www.gk114.com/a/gxzs/zszc/liaoning/2021/0510/19602.html" TargetMode="External" /><Relationship Id="rId14" Type="http://schemas.openxmlformats.org/officeDocument/2006/relationships/hyperlink" Target="http://www.gk114.com/a/gxzs/zszc/liaoning/2021/0510/19600.html" TargetMode="External" /><Relationship Id="rId15" Type="http://schemas.openxmlformats.org/officeDocument/2006/relationships/hyperlink" Target="http://www.gk114.com/a/gxzs/zszc/liaoning/2021/0510/19596.html" TargetMode="External" /><Relationship Id="rId16" Type="http://schemas.openxmlformats.org/officeDocument/2006/relationships/hyperlink" Target="http://www.gk114.com/a/gxzs/zszc/liaoning/2021/0510/19595.html" TargetMode="External" /><Relationship Id="rId17" Type="http://schemas.openxmlformats.org/officeDocument/2006/relationships/hyperlink" Target="http://www.gk114.com/a/gxzs/zszc/liaoning/2021/0606/1977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221/6481.html" TargetMode="External" /><Relationship Id="rId5" Type="http://schemas.openxmlformats.org/officeDocument/2006/relationships/hyperlink" Target="http://www.gk114.com/a/gxzs/zszc/liaoning/2019/0221/6483.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