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为了贯彻落实招生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维护考生合法权益，保证运城学院普通本科招生工作的顺利进行，依据《中华人民共和国教育法》《中华人民共和国高等教育法》和教育部有关规定的要求，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运城学院招生工作将全面贯彻教育部有关文件精神，本着公平、公正、公开的原则，综合衡量考生德、智、体、美，择优录取；并接受纪检监察部门、新闻媒体、考生、家长及社会各界的监督。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学校全称：运城学院</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10123)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通知书签发人：薛耀文，职务：院长。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学校校址：山西省运城市复旦西街</w:t>
      </w:r>
      <w:r>
        <w:rPr>
          <w:rFonts w:ascii="Times New Roman" w:eastAsia="Times New Roman" w:hAnsi="Times New Roman" w:cs="Times New Roman"/>
        </w:rPr>
        <w:t>1155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http://www.ycu.edu.cn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http://www.ycu.edu.cn/zhaosheng/</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箱：</w:t>
      </w:r>
      <w:r>
        <w:rPr>
          <w:rFonts w:ascii="Times New Roman" w:eastAsia="Times New Roman" w:hAnsi="Times New Roman" w:cs="Times New Roman"/>
        </w:rPr>
        <w:t xml:space="preserve">ycxyzs@ycu.edu.cn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信访邮箱：</w:t>
      </w:r>
      <w:r>
        <w:rPr>
          <w:rFonts w:ascii="Times New Roman" w:eastAsia="Times New Roman" w:hAnsi="Times New Roman" w:cs="Times New Roman"/>
        </w:rPr>
        <w:t xml:space="preserve">jjjcs@ycu.edu.cn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0359-2090807</w:t>
      </w:r>
      <w:r>
        <w:rPr>
          <w:rFonts w:ascii="SimSun" w:eastAsia="SimSun" w:hAnsi="SimSun" w:cs="SimSun"/>
        </w:rPr>
        <w:t>、</w:t>
      </w:r>
      <w:r>
        <w:rPr>
          <w:rFonts w:ascii="Times New Roman" w:eastAsia="Times New Roman" w:hAnsi="Times New Roman" w:cs="Times New Roman"/>
        </w:rPr>
        <w:t>0359-2090661</w:t>
      </w:r>
      <w:r>
        <w:rPr>
          <w:rFonts w:ascii="SimSun" w:eastAsia="SimSun" w:hAnsi="SimSun" w:cs="SimSun"/>
        </w:rPr>
        <w:t>、</w:t>
      </w:r>
      <w:r>
        <w:rPr>
          <w:rFonts w:ascii="Times New Roman" w:eastAsia="Times New Roman" w:hAnsi="Times New Roman" w:cs="Times New Roman"/>
        </w:rPr>
        <w:t>0359-2090662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044000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运城学院成立招生委员会，负责全校的普通本科招生工作，拟定招生政策和招生计划，讨论招生工作重大事宜。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运城学院招生办公室是组织和实施招生及其相关工作的常设机构，设在教务处（招生办），具体负责组织实施学校普通本科招生日常工作。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运城学院设立招生工作监督领导小组，办公室设在院监察室，对招生工作实施全程监督。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运城学院执行教育部和省级教育行政部门核准的招生计划总数，并通过各省级招生主管部门、学校招生简章、学校网站等形式向考生公布。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招生计划分配总体思路：积极响应省委促进富民强省</w:t>
      </w:r>
      <w:r>
        <w:rPr>
          <w:rFonts w:ascii="Times New Roman" w:eastAsia="Times New Roman" w:hAnsi="Times New Roman" w:cs="Times New Roman"/>
        </w:rPr>
        <w:t>“</w:t>
      </w:r>
      <w:r>
        <w:rPr>
          <w:rFonts w:ascii="SimSun" w:eastAsia="SimSun" w:hAnsi="SimSun" w:cs="SimSun"/>
        </w:rPr>
        <w:t>六大发展</w:t>
      </w:r>
      <w:r>
        <w:rPr>
          <w:rFonts w:ascii="Times New Roman" w:eastAsia="Times New Roman" w:hAnsi="Times New Roman" w:cs="Times New Roman"/>
        </w:rPr>
        <w:t>”</w:t>
      </w:r>
      <w:r>
        <w:rPr>
          <w:rFonts w:ascii="SimSun" w:eastAsia="SimSun" w:hAnsi="SimSun" w:cs="SimSun"/>
        </w:rPr>
        <w:t>战略，以需求为导向，适应经济发展新常态，落实学校</w:t>
      </w:r>
      <w:r>
        <w:rPr>
          <w:rFonts w:ascii="Times New Roman" w:eastAsia="Times New Roman" w:hAnsi="Times New Roman" w:cs="Times New Roman"/>
        </w:rPr>
        <w:t>“</w:t>
      </w:r>
      <w:r>
        <w:rPr>
          <w:rFonts w:ascii="SimSun" w:eastAsia="SimSun" w:hAnsi="SimSun" w:cs="SimSun"/>
        </w:rPr>
        <w:t>应用型、地方性、教学型</w:t>
      </w:r>
      <w:r>
        <w:rPr>
          <w:rFonts w:ascii="Times New Roman" w:eastAsia="Times New Roman" w:hAnsi="Times New Roman" w:cs="Times New Roman"/>
        </w:rPr>
        <w:t>”</w:t>
      </w:r>
      <w:r>
        <w:rPr>
          <w:rFonts w:ascii="SimSun" w:eastAsia="SimSun" w:hAnsi="SimSun" w:cs="SimSun"/>
        </w:rPr>
        <w:t>办学定位和转型提质工作要求，稳定招生规模，聚焦内涵发展，建设人民满意大学。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（一）按教育部规定，我院预留计划</w:t>
      </w:r>
      <w:r>
        <w:rPr>
          <w:rFonts w:ascii="Times New Roman" w:eastAsia="Times New Roman" w:hAnsi="Times New Roman" w:cs="Times New Roman"/>
        </w:rPr>
        <w:t>30</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（二）预留计划的使用原则：预留计划用于实行平行志愿省份进档考生多于执行计划情况下的录取，在录取结束之前，须将所有预留计划使用。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（三）预留计划的使用要经过集体研究决定，并经领导签字，做到每个计划使用都备案可查。预留计划一律通过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运城学院执行教育部规定的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的录取体制，在省教育厅领导下，由各省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所有招生专业录取时往届生和应届生一视同仁，无男女生比例限制。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录取时执行各省（自治区、直辖市）教育行政部门、招生考试机构有关加分或降分投档的政策规定。在考生等效基准分相同情况下，优先考虑有政策性加分的考生。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学生在校学习期间，公共外语教学只安排英语教学，建议非英语语种考生慎报。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学校调阅考生档案的比例按各省招办规定执行。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根据教育部、卫生部、中国残疾人联合会颁布的《普通高等学校招生体检工作指导意见》及有关补充规定执行。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文史类、理工类：（</w:t>
      </w:r>
      <w:r>
        <w:rPr>
          <w:rFonts w:ascii="Times New Roman" w:eastAsia="Times New Roman" w:hAnsi="Times New Roman" w:cs="Times New Roman"/>
        </w:rPr>
        <w:t>1</w:t>
      </w:r>
      <w:r>
        <w:rPr>
          <w:rFonts w:ascii="SimSun" w:eastAsia="SimSun" w:hAnsi="SimSun" w:cs="SimSun"/>
        </w:rPr>
        <w:t>）平行志愿投档省份：专业录取原则为分数优先。分数优先即按各省投档排序成绩（含政策性加分成绩）从高到低的顺序依次满足考生的专业志愿。（</w:t>
      </w:r>
      <w:r>
        <w:rPr>
          <w:rFonts w:ascii="Times New Roman" w:eastAsia="Times New Roman" w:hAnsi="Times New Roman" w:cs="Times New Roman"/>
        </w:rPr>
        <w:t>2</w:t>
      </w:r>
      <w:r>
        <w:rPr>
          <w:rFonts w:ascii="SimSun" w:eastAsia="SimSun" w:hAnsi="SimSun" w:cs="SimSun"/>
        </w:rPr>
        <w:t>）非平行志愿投档省份：专业录取原则为专业志愿优先。若考生投档成绩相同时，再按单科成绩依次从高到低排序。单科成绩排序的科目顺序是：文史类：</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调剂原则：若考生所报专业志愿均无法满足时，优先调剂并分配高分考生专业。调剂参照考生所报第一专业志愿的类别（师范类或非师范类），按顺序依次调剂至同类别专业。专业志愿无法满足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美术学、视觉传达设计、环境设计、产品设计、体育教育、播音与主持艺术、舞蹈学专业录取规则：山西省进档考生按照专业课从高到低录取，专业课相同时，参照文化课成绩从高到低录取；外省进档考生按相应省份投档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音乐学专业录取规则：山西省进档考生按专业成绩从高到低择优录取，专业课成绩相同时，参照文化课成绩从高到低录取，音乐学专业计划</w:t>
      </w:r>
      <w:r>
        <w:rPr>
          <w:rFonts w:ascii="Times New Roman" w:eastAsia="Times New Roman" w:hAnsi="Times New Roman" w:cs="Times New Roman"/>
        </w:rPr>
        <w:t>165</w:t>
      </w:r>
      <w:r>
        <w:rPr>
          <w:rFonts w:ascii="SimSun" w:eastAsia="SimSun" w:hAnsi="SimSun" w:cs="SimSun"/>
        </w:rPr>
        <w:t>人，其中器乐</w:t>
      </w:r>
      <w:r>
        <w:rPr>
          <w:rFonts w:ascii="Times New Roman" w:eastAsia="Times New Roman" w:hAnsi="Times New Roman" w:cs="Times New Roman"/>
        </w:rPr>
        <w:t>100</w:t>
      </w:r>
      <w:r>
        <w:rPr>
          <w:rFonts w:ascii="SimSun" w:eastAsia="SimSun" w:hAnsi="SimSun" w:cs="SimSun"/>
        </w:rPr>
        <w:t>人，声乐</w:t>
      </w:r>
      <w:r>
        <w:rPr>
          <w:rFonts w:ascii="Times New Roman" w:eastAsia="Times New Roman" w:hAnsi="Times New Roman" w:cs="Times New Roman"/>
        </w:rPr>
        <w:t>65</w:t>
      </w:r>
      <w:r>
        <w:rPr>
          <w:rFonts w:ascii="SimSun" w:eastAsia="SimSun" w:hAnsi="SimSun" w:cs="SimSun"/>
        </w:rPr>
        <w:t>人。外省进档考生按相应省份投档成绩从高到低录取。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专升本和对口升学的录取规则：按考生所报志愿，按投档成绩由高到低，择优录取。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内蒙古自治区录取实行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的录取原则；江苏省按照江苏省投档同分排序规则执行。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学历　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本科学生毕业时符合运城学院颁发毕业证书条件者，颁发运城学院毕业证书；符合运城学院学位授予条件者，授予运城学院学位证书。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学费、住宿费等严格执行山西省晋发改收费发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新生入校后进行入学资格审查，凡在高考报名、考试、体检等环节以弄虚作假手段取得录取资格的，学校将取消录取资格。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学校设有国家奖助学金、学院学生奖学金及勤工助学岗位等多种资助方式，同时学生可申请生源地信用助学贷款，以帮助经济困难学生顺利完成学业。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本章程由运城学院负责解释。国家招生政策调整时，以新的国家招生政策为准。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7.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24.html" TargetMode="External" /><Relationship Id="rId5" Type="http://schemas.openxmlformats.org/officeDocument/2006/relationships/hyperlink" Target="http://www.gk114.com/a/gxzs/zszc/shanxi/2019/0221/642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