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遵义医科大学医学与科技学院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为进一步贯彻依法治校，实施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，保证学院招生工作顺利进行，切实维护学院和考生的合法权益，根据《中华人民共和国教育法》《中华人民共和国高等教育法》和教育部、贵州省有关规定，并结合学院实际情况，特制定本章程。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本章程适用于遵义医科大学医学与科技学院</w:t>
      </w:r>
      <w:r>
        <w:rPr>
          <w:rFonts w:ascii="Times New Roman" w:eastAsia="Times New Roman" w:hAnsi="Times New Roman" w:cs="Times New Roman"/>
        </w:rPr>
        <w:t>2020</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院校名称：遵义医科大学医学与科技学院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4152013653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学院地址：贵州省遵义市新蒲新区园区一号路</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563000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学院主管单位：贵州省教育厅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学院成立由院领导任组长的招生工作领导小组，全面负责贯彻执行教育部和相关省（直辖市、自治区）招生考试主管部门的招生工作政策，研究制定学院招生实施细则，指导和监督招生工作的具体实施。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招生办公室为学院招生领导小组的执行机构，其主要职责是根据各有关招生规定和实施细则，编制招生计划、组织宣传、实施录取等工作，处理普通全日制本科招生的日常事务。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学院设立招生工作纪检监督小组，对招生工作实施监督。在录取期间成立信访组，安排专人负责考生的信访、申诉、投诉处理工作。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学院面向贵州、重庆、四川、江西、广东、广西等省（直辖市、自治区）招生。分专业计划均以生源省公布的专业目录为准。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录取批次：本科批次录取（具体根据各地招生录取批次工作安排实施）。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学院根据各省（直辖市、自治区）生源情况确定调档比例，调档比例原则上控制在招生计划的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学院严格执行国家高考政策优惠文件规定，认可各省（直辖市、自治区）加、降分形成的投档成绩，并作为录取和安排专业的成绩依据。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学院择优录取第一志愿（第一次平行志愿投档）考生，若第一志愿（第一次平行志愿投档）考生人数不足时，学院将接收非第一志愿（征集志愿）考生。学院实行无分数级差录取。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对于未实施高考综合改革录取省（直辖市、自治区）的进档考生，实行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即优先满足考生的专业志愿，按考生填报的专业志愿顺序和各专业招生计划数从高分到低分录取。若考生所报专业志愿都不满足时，学院将根据考生是否服从专业调剂及各专业录取情况进行专业调整。对低分或不服从专业调剂的考生，学院将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对于实施高考综合改革录取省（直辖市、自治区）的进档考生，学院按照其高考改革志愿填报及投档录取实施相关规定，同时参照我院章程规定的录取原则进行录取。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若在录取中出现考生投档成绩相同情况，学院将依据各省（直辖市、自治区）招生录取相关规定，并与其招生考试主管部门协商决定实施录取。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实施高考综合改革录取省（直辖市、自治区）考生报考我院，必须满足学院招生专业对应的相关选考科目要求。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对于考生身体健康状况的要求，学院严格按照教育部、卫生部、中国残联联合印发的《普通高等学校招生体检工作指导意见》及有关补充规定，并结合以下专业要求、建议执行：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）临床医学专业：建议肢体残疾，将影响所填报专业学习、就业的考生慎报（根据用人单位要求）。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）护理学专业：建议男生身高</w:t>
      </w:r>
      <w:r>
        <w:rPr>
          <w:rFonts w:ascii="Times New Roman" w:eastAsia="Times New Roman" w:hAnsi="Times New Roman" w:cs="Times New Roman"/>
        </w:rPr>
        <w:t>165cm</w:t>
      </w:r>
      <w:r>
        <w:rPr>
          <w:rFonts w:ascii="SimSun" w:eastAsia="SimSun" w:hAnsi="SimSun" w:cs="SimSun"/>
        </w:rPr>
        <w:t>（含）以上，女生身高</w:t>
      </w:r>
      <w:r>
        <w:rPr>
          <w:rFonts w:ascii="Times New Roman" w:eastAsia="Times New Roman" w:hAnsi="Times New Roman" w:cs="Times New Roman"/>
        </w:rPr>
        <w:t>158cm</w:t>
      </w:r>
      <w:r>
        <w:rPr>
          <w:rFonts w:ascii="SimSun" w:eastAsia="SimSun" w:hAnsi="SimSun" w:cs="SimSun"/>
        </w:rPr>
        <w:t>（含）以上（根据大多数用人单位要求）。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）口腔医学专业：要求身体无残疾，建议男生身高</w:t>
      </w:r>
      <w:r>
        <w:rPr>
          <w:rFonts w:ascii="Times New Roman" w:eastAsia="Times New Roman" w:hAnsi="Times New Roman" w:cs="Times New Roman"/>
        </w:rPr>
        <w:t>165cm</w:t>
      </w:r>
      <w:r>
        <w:rPr>
          <w:rFonts w:ascii="SimSun" w:eastAsia="SimSun" w:hAnsi="SimSun" w:cs="SimSun"/>
        </w:rPr>
        <w:t>（含）以上，女生身高</w:t>
      </w:r>
      <w:r>
        <w:rPr>
          <w:rFonts w:ascii="Times New Roman" w:eastAsia="Times New Roman" w:hAnsi="Times New Roman" w:cs="Times New Roman"/>
        </w:rPr>
        <w:t>155cm</w:t>
      </w:r>
      <w:r>
        <w:rPr>
          <w:rFonts w:ascii="SimSun" w:eastAsia="SimSun" w:hAnsi="SimSun" w:cs="SimSun"/>
        </w:rPr>
        <w:t>（含）以上（根据口腔治疗器械操作要求）。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）麻醉学专业：要求身体无残疾，建议男生身高</w:t>
      </w:r>
      <w:r>
        <w:rPr>
          <w:rFonts w:ascii="Times New Roman" w:eastAsia="Times New Roman" w:hAnsi="Times New Roman" w:cs="Times New Roman"/>
        </w:rPr>
        <w:t>160cm</w:t>
      </w:r>
      <w:r>
        <w:rPr>
          <w:rFonts w:ascii="SimSun" w:eastAsia="SimSun" w:hAnsi="SimSun" w:cs="SimSun"/>
        </w:rPr>
        <w:t>（含）以上，女生身高</w:t>
      </w:r>
      <w:r>
        <w:rPr>
          <w:rFonts w:ascii="Times New Roman" w:eastAsia="Times New Roman" w:hAnsi="Times New Roman" w:cs="Times New Roman"/>
        </w:rPr>
        <w:t>150cm</w:t>
      </w:r>
      <w:r>
        <w:rPr>
          <w:rFonts w:ascii="SimSun" w:eastAsia="SimSun" w:hAnsi="SimSun" w:cs="SimSun"/>
        </w:rPr>
        <w:t>（含）以上（根据大多数用人单位要求）。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）社会体育指导与管理、运动康复专业：要求男生身高</w:t>
      </w:r>
      <w:r>
        <w:rPr>
          <w:rFonts w:ascii="Times New Roman" w:eastAsia="Times New Roman" w:hAnsi="Times New Roman" w:cs="Times New Roman"/>
        </w:rPr>
        <w:t>160cm</w:t>
      </w:r>
      <w:r>
        <w:rPr>
          <w:rFonts w:ascii="SimSun" w:eastAsia="SimSun" w:hAnsi="SimSun" w:cs="SimSun"/>
        </w:rPr>
        <w:t>（含）以上，女生身高</w:t>
      </w:r>
      <w:r>
        <w:rPr>
          <w:rFonts w:ascii="Times New Roman" w:eastAsia="Times New Roman" w:hAnsi="Times New Roman" w:cs="Times New Roman"/>
        </w:rPr>
        <w:t>150cm</w:t>
      </w:r>
      <w:r>
        <w:rPr>
          <w:rFonts w:ascii="SimSun" w:eastAsia="SimSun" w:hAnsi="SimSun" w:cs="SimSun"/>
        </w:rPr>
        <w:t>（含）以上，身体无残疾，无色弱，无色盲（根据专业要求）。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学院公共外语教学为英语，请非英语语种考生根据自身情况报考。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严格按照省价格主管部门批准的学费、住宿费等收费项目及标准执行。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学院有完善的</w:t>
      </w:r>
      <w:r>
        <w:rPr>
          <w:rFonts w:ascii="Times New Roman" w:eastAsia="Times New Roman" w:hAnsi="Times New Roman" w:cs="Times New Roman"/>
        </w:rPr>
        <w:t>“</w:t>
      </w:r>
      <w:r>
        <w:rPr>
          <w:rFonts w:ascii="SimSun" w:eastAsia="SimSun" w:hAnsi="SimSun" w:cs="SimSun"/>
        </w:rPr>
        <w:t>奖、贷、勤、减、免、补</w:t>
      </w:r>
      <w:r>
        <w:rPr>
          <w:rFonts w:ascii="Times New Roman" w:eastAsia="Times New Roman" w:hAnsi="Times New Roman" w:cs="Times New Roman"/>
        </w:rPr>
        <w:t>”</w:t>
      </w:r>
      <w:r>
        <w:rPr>
          <w:rFonts w:ascii="SimSun" w:eastAsia="SimSun" w:hAnsi="SimSun" w:cs="SimSun"/>
        </w:rPr>
        <w:t>学生资助体系。新生进校时开通家庭经济困难学生入学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，对贵州省农村建档立卡的贫困学生，学院均按规定标准先予减免学费</w:t>
      </w:r>
      <w:r>
        <w:rPr>
          <w:rFonts w:ascii="Times New Roman" w:eastAsia="Times New Roman" w:hAnsi="Times New Roman" w:cs="Times New Roman"/>
        </w:rPr>
        <w:t>3830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毕业颁证：凡具有学院正式学籍的学生，在规定年限内，修完教学计划规定的课程并获得学分，达到毕业要求的，发予国家承认学历的、经教育部学历电子注册的遵义医科大学医学与科技学院本科毕业证书，并以此具印；对符合学位授予条件的毕业生，授予相应学位类别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3</w:t>
      </w:r>
      <w:r>
        <w:rPr>
          <w:rFonts w:ascii="SimSun" w:eastAsia="SimSun" w:hAnsi="SimSun" w:cs="SimSun"/>
        </w:rPr>
        <w:t>个月内，学院将按照国家招生、入学及高校学生管理规定对其进行全面复查。复查合格者，予以注册学籍；复查不合格者，由学院区别情况并根据相关规定予以处理，直至取消入学资格。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址：贵州省遵义市新蒲新区园区一号路</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563000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0851-23138982</w:t>
      </w:r>
      <w:r>
        <w:rPr>
          <w:rFonts w:ascii="SimSun" w:eastAsia="SimSun" w:hAnsi="SimSun" w:cs="SimSun"/>
        </w:rPr>
        <w:t>、</w:t>
      </w:r>
      <w:r>
        <w:rPr>
          <w:rFonts w:ascii="Times New Roman" w:eastAsia="Times New Roman" w:hAnsi="Times New Roman" w:cs="Times New Roman"/>
        </w:rPr>
        <w:t xml:space="preserve">23138983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0851-23138982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kjxyzsbgs@163.com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http://mts.zmu.edu.cn/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招办网址：</w:t>
      </w:r>
      <w:r>
        <w:rPr>
          <w:rFonts w:ascii="Times New Roman" w:eastAsia="Times New Roman" w:hAnsi="Times New Roman" w:cs="Times New Roman"/>
        </w:rPr>
        <w:t xml:space="preserve">http://zhaosheng.mts.zmu.edu.cn/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本章程若与国家法律、法规、规章、规范和有关政策相抵触，以国家法律、法规、规章、规范和有关政策为准。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本章程由遵义医科大学医学与科技学院招生办公室负责解释。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贵州大学科技学院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贵州医科大学神奇民族医药学院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36.html" TargetMode="External" /><Relationship Id="rId11" Type="http://schemas.openxmlformats.org/officeDocument/2006/relationships/hyperlink" Target="http://www.gk114.com/a/gxzs/zszc/guizhou/2020/0628/17129.html" TargetMode="External" /><Relationship Id="rId12" Type="http://schemas.openxmlformats.org/officeDocument/2006/relationships/hyperlink" Target="http://www.gk114.com/a/gxzs/zszc/guizhou/2020/0628/17114.html" TargetMode="External" /><Relationship Id="rId13" Type="http://schemas.openxmlformats.org/officeDocument/2006/relationships/hyperlink" Target="http://www.gk114.com/a/gxzs/zszc/guizhou/2020/0628/17105.html" TargetMode="External" /><Relationship Id="rId14" Type="http://schemas.openxmlformats.org/officeDocument/2006/relationships/hyperlink" Target="http://www.gk114.com/a/gxzs/zszc/guizhou/2019/0612/9809.html" TargetMode="External" /><Relationship Id="rId15" Type="http://schemas.openxmlformats.org/officeDocument/2006/relationships/hyperlink" Target="http://www.gk114.com/a/gxzs/zszc/guizhou/2019/0612/9807.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32.html" TargetMode="External" /><Relationship Id="rId5" Type="http://schemas.openxmlformats.org/officeDocument/2006/relationships/hyperlink" Target="http://www.gk114.com/a/gxzs/zszc/guizhou/2020/0628/17134.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46.html" TargetMode="External" /><Relationship Id="rId8" Type="http://schemas.openxmlformats.org/officeDocument/2006/relationships/hyperlink" Target="http://www.gk114.com/a/gxzs/zszc/guizhou/2020/0628/17142.html" TargetMode="External" /><Relationship Id="rId9" Type="http://schemas.openxmlformats.org/officeDocument/2006/relationships/hyperlink" Target="http://www.gk114.com/a/gxzs/zszc/guizhou/2020/0628/171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