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重庆三峡医药高等专科学校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年全国普通高校招生章程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三峡医药高等专科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学校严格执行教育部的招生政策，遵循德、智、体、美全面衡量、综合评价、公开程序、公平竞争、公正选拔、择优录取的原则录取考生。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学校全称：重庆三峡医药高等专科学校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英文名称：</w:t>
      </w:r>
      <w:r>
        <w:rPr>
          <w:rFonts w:ascii="Times New Roman" w:eastAsia="Times New Roman" w:hAnsi="Times New Roman" w:cs="Times New Roman"/>
        </w:rPr>
        <w:t xml:space="preserve">Chongqing Three Gorges Medical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14008</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办学性质和层次：学校是教育部批准设置、重庆市政府举办、重庆市教育委员会主管的公办全日制普通高等专科院校。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办学地址：重庆市万州区百安坝天星路</w:t>
      </w:r>
      <w:r>
        <w:rPr>
          <w:rFonts w:ascii="Times New Roman" w:eastAsia="Times New Roman" w:hAnsi="Times New Roman" w:cs="Times New Roman"/>
        </w:rPr>
        <w:t>366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学校概况：学校是重庆市示范性高等职业院校、重庆市优质高等职业院校建设项目单位。学校占地面积</w:t>
      </w:r>
      <w:r>
        <w:rPr>
          <w:rFonts w:ascii="Times New Roman" w:eastAsia="Times New Roman" w:hAnsi="Times New Roman" w:cs="Times New Roman"/>
        </w:rPr>
        <w:t>839</w:t>
      </w:r>
      <w:r>
        <w:rPr>
          <w:rFonts w:ascii="SimSun" w:eastAsia="SimSun" w:hAnsi="SimSun" w:cs="SimSun"/>
        </w:rPr>
        <w:t>亩，校舍建筑面积</w:t>
      </w:r>
      <w:r>
        <w:rPr>
          <w:rFonts w:ascii="Times New Roman" w:eastAsia="Times New Roman" w:hAnsi="Times New Roman" w:cs="Times New Roman"/>
        </w:rPr>
        <w:t>38</w:t>
      </w:r>
      <w:r>
        <w:rPr>
          <w:rFonts w:ascii="SimSun" w:eastAsia="SimSun" w:hAnsi="SimSun" w:cs="SimSun"/>
        </w:rPr>
        <w:t>万平方米，资产总额</w:t>
      </w:r>
      <w:r>
        <w:rPr>
          <w:rFonts w:ascii="Times New Roman" w:eastAsia="Times New Roman" w:hAnsi="Times New Roman" w:cs="Times New Roman"/>
        </w:rPr>
        <w:t>7.4</w:t>
      </w:r>
      <w:r>
        <w:rPr>
          <w:rFonts w:ascii="SimSun" w:eastAsia="SimSun" w:hAnsi="SimSun" w:cs="SimSun"/>
        </w:rPr>
        <w:t>亿，教学、科研设备总值</w:t>
      </w:r>
      <w:r>
        <w:rPr>
          <w:rFonts w:ascii="Times New Roman" w:eastAsia="Times New Roman" w:hAnsi="Times New Roman" w:cs="Times New Roman"/>
        </w:rPr>
        <w:t>1.18</w:t>
      </w:r>
      <w:r>
        <w:rPr>
          <w:rFonts w:ascii="SimSun" w:eastAsia="SimSun" w:hAnsi="SimSun" w:cs="SimSun"/>
        </w:rPr>
        <w:t>亿元，藏书</w:t>
      </w:r>
      <w:r>
        <w:rPr>
          <w:rFonts w:ascii="Times New Roman" w:eastAsia="Times New Roman" w:hAnsi="Times New Roman" w:cs="Times New Roman"/>
        </w:rPr>
        <w:t>75.2</w:t>
      </w:r>
      <w:r>
        <w:rPr>
          <w:rFonts w:ascii="SimSun" w:eastAsia="SimSun" w:hAnsi="SimSun" w:cs="SimSun"/>
        </w:rPr>
        <w:t>万册。现有全日制普通高职专科在校学生</w:t>
      </w:r>
      <w:r>
        <w:rPr>
          <w:rFonts w:ascii="Times New Roman" w:eastAsia="Times New Roman" w:hAnsi="Times New Roman" w:cs="Times New Roman"/>
        </w:rPr>
        <w:t>11931</w:t>
      </w:r>
      <w:r>
        <w:rPr>
          <w:rFonts w:ascii="SimSun" w:eastAsia="SimSun" w:hAnsi="SimSun" w:cs="SimSun"/>
        </w:rPr>
        <w:t>人，教职工</w:t>
      </w:r>
      <w:r>
        <w:rPr>
          <w:rFonts w:ascii="Times New Roman" w:eastAsia="Times New Roman" w:hAnsi="Times New Roman" w:cs="Times New Roman"/>
        </w:rPr>
        <w:t>1003</w:t>
      </w:r>
      <w:r>
        <w:rPr>
          <w:rFonts w:ascii="SimSun" w:eastAsia="SimSun" w:hAnsi="SimSun" w:cs="SimSun"/>
        </w:rPr>
        <w:t>人，其中专任教师</w:t>
      </w:r>
      <w:r>
        <w:rPr>
          <w:rFonts w:ascii="Times New Roman" w:eastAsia="Times New Roman" w:hAnsi="Times New Roman" w:cs="Times New Roman"/>
        </w:rPr>
        <w:t>632</w:t>
      </w:r>
      <w:r>
        <w:rPr>
          <w:rFonts w:ascii="SimSun" w:eastAsia="SimSun" w:hAnsi="SimSun" w:cs="SimSun"/>
        </w:rPr>
        <w:t>人，教授</w:t>
      </w:r>
      <w:r>
        <w:rPr>
          <w:rFonts w:ascii="Times New Roman" w:eastAsia="Times New Roman" w:hAnsi="Times New Roman" w:cs="Times New Roman"/>
        </w:rPr>
        <w:t>44</w:t>
      </w:r>
      <w:r>
        <w:rPr>
          <w:rFonts w:ascii="SimSun" w:eastAsia="SimSun" w:hAnsi="SimSun" w:cs="SimSun"/>
        </w:rPr>
        <w:t>人、副教授</w:t>
      </w:r>
      <w:r>
        <w:rPr>
          <w:rFonts w:ascii="Times New Roman" w:eastAsia="Times New Roman" w:hAnsi="Times New Roman" w:cs="Times New Roman"/>
        </w:rPr>
        <w:t>147</w:t>
      </w:r>
      <w:r>
        <w:rPr>
          <w:rFonts w:ascii="SimSun" w:eastAsia="SimSun" w:hAnsi="SimSun" w:cs="SimSun"/>
        </w:rPr>
        <w:t>人，硕士以上学位</w:t>
      </w:r>
      <w:r>
        <w:rPr>
          <w:rFonts w:ascii="Times New Roman" w:eastAsia="Times New Roman" w:hAnsi="Times New Roman" w:cs="Times New Roman"/>
        </w:rPr>
        <w:t>286</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学校设立招生工作领导小组全面负责执行教育部有关招生工作的规定，研究制定招生政策，审定招生计划，讨论决定招生工作的重大事宜等。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学校招生处是组织和实施招生工作的常设机构，具体负责学校招生的各项日常工作。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学校纪检监察部门负责监督招生工作各项政策和规定的落实。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学校招生工作领导小组根据学校发展规模、办学条件、人才需求等因素制定年度招生计划。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学校招生处按照国家有关招生政策，本着教育公平的原则，根据各省人口基数，考虑生源质量、就业需求等因素制定学校分省分专业招生来源计划，上报重庆市教育委员会。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学校招生处将经教育部批复的招生来源计划在规定的时间内报送各有关省（自治区、直辖市）招生办公室，并向社会公布。</w:t>
      </w:r>
      <w:r>
        <w:rPr>
          <w:rFonts w:ascii="Times New Roman" w:eastAsia="Times New Roman" w:hAnsi="Times New Roman" w:cs="Times New Roman"/>
        </w:rPr>
        <w:t>2019</w:t>
      </w:r>
      <w:r>
        <w:rPr>
          <w:rFonts w:ascii="SimSun" w:eastAsia="SimSun" w:hAnsi="SimSun" w:cs="SimSun"/>
        </w:rPr>
        <w:t>年我校分省分专业招生计划以各省（自治区、直辖市）招办公布为准，学校无预留计划。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基本原则及录取规则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的基本原则录取考生。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学校承认各省（市、区）招办符合国家政策的加分、降分。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实行顺序志愿的省（市、区），按志愿优先的原则，从高分到低分录取第一志愿的上线考生，若第一志愿生源不足，则录取非第一志愿上线考生，直至计划完成；实行平行志愿的省（市、区），按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的原则进行投档，学校从高分到低分录取考生，若录取不满额，则再次征集志愿。内蒙古自治区实行招生计划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范围内按专业志愿排队录取的录取规则。实行</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平行投档模式录取的省份按当地录取规则执行。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进档考生的综合素质评价报告中各科目学业水平考试成绩须及格，学校分项评价达到合格及以上，方可被录取；凡高中学校审查不合格者，均不予录取。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考生的专业确定按考生专业志愿优先的原则并结合该专业对身体健康条件的要求从高分到低分依次检索录取，从高分到低分优先满足第一专业志愿，如考生未达到第一专业志愿专业录取最低分，则在其所报第二专业志愿未满的情况下，安排至该专业，以此类推，专业志愿之间不设分数级差。考生所填报志愿都不能满足时，服从专业调剂的，按高分到低分调剂到未满额的专业；若不服从专业调剂，则作退档处理。对投档成绩（统考成绩</w:t>
      </w:r>
      <w:r>
        <w:rPr>
          <w:rFonts w:ascii="Times New Roman" w:eastAsia="Times New Roman" w:hAnsi="Times New Roman" w:cs="Times New Roman"/>
        </w:rPr>
        <w:t>+</w:t>
      </w:r>
      <w:r>
        <w:rPr>
          <w:rFonts w:ascii="SimSun" w:eastAsia="SimSun" w:hAnsi="SimSun" w:cs="SimSun"/>
        </w:rPr>
        <w:t>附加分）相同考生，依次比较综合科目、语文、数学、外语单科成绩，从高到低录取和确定专业。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我校各专业不限应试外语语种，但所有新生入学后，公共外语教学均为英语。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往届生和应届生的录取看待无差别。除助产专业限女生报考外，其他专业不限男女比例。但鉴于行业用工限制，建议男生谨慎填报医学美容技术专业。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身体健康状况要求按教育部《普通高等学校招生体检指导意见》执行。另外根据我校各专业具体情况，除药品经营与管理等管理类专业外，其他专业均不招收色盲考生，临床医学、口腔医学、针灸推拿、中医骨伤、康复治疗技术、中医养生保健、护理、助产、医学检验技术、医学影像技术、口腔医学技术、医疗设备应用技术、医学生物技术、预防医学和药品质量与安全专业均不招收色弱考生。口腔医学和口腔医学技术不招</w:t>
      </w:r>
      <w:r>
        <w:rPr>
          <w:rFonts w:ascii="Times New Roman" w:eastAsia="Times New Roman" w:hAnsi="Times New Roman" w:cs="Times New Roman"/>
        </w:rPr>
        <w:t>“</w:t>
      </w:r>
      <w:r>
        <w:rPr>
          <w:rFonts w:ascii="SimSun" w:eastAsia="SimSun" w:hAnsi="SimSun" w:cs="SimSun"/>
        </w:rPr>
        <w:t>左利手</w:t>
      </w:r>
      <w:r>
        <w:rPr>
          <w:rFonts w:ascii="Times New Roman" w:eastAsia="Times New Roman" w:hAnsi="Times New Roman" w:cs="Times New Roman"/>
        </w:rPr>
        <w:t>”</w:t>
      </w:r>
      <w:r>
        <w:rPr>
          <w:rFonts w:ascii="SimSun" w:eastAsia="SimSun" w:hAnsi="SimSun" w:cs="SimSun"/>
        </w:rPr>
        <w:t>（俗称</w:t>
      </w:r>
      <w:r>
        <w:rPr>
          <w:rFonts w:ascii="Times New Roman" w:eastAsia="Times New Roman" w:hAnsi="Times New Roman" w:cs="Times New Roman"/>
        </w:rPr>
        <w:t>“</w:t>
      </w:r>
      <w:r>
        <w:rPr>
          <w:rFonts w:ascii="SimSun" w:eastAsia="SimSun" w:hAnsi="SimSun" w:cs="SimSun"/>
        </w:rPr>
        <w:t>左撇子</w:t>
      </w:r>
      <w:r>
        <w:rPr>
          <w:rFonts w:ascii="Times New Roman" w:eastAsia="Times New Roman" w:hAnsi="Times New Roman" w:cs="Times New Roman"/>
        </w:rPr>
        <w:t>”</w:t>
      </w:r>
      <w:r>
        <w:rPr>
          <w:rFonts w:ascii="SimSun" w:eastAsia="SimSun" w:hAnsi="SimSun" w:cs="SimSun"/>
        </w:rPr>
        <w:t>）。根据行业用工情况，要求护理专业女生身高不低于</w:t>
      </w:r>
      <w:r>
        <w:rPr>
          <w:rFonts w:ascii="Times New Roman" w:eastAsia="Times New Roman" w:hAnsi="Times New Roman" w:cs="Times New Roman"/>
        </w:rPr>
        <w:t>1.55</w:t>
      </w:r>
      <w:r>
        <w:rPr>
          <w:rFonts w:ascii="SimSun" w:eastAsia="SimSun" w:hAnsi="SimSun" w:cs="SimSun"/>
        </w:rPr>
        <w:t>米，男生身高不低于</w:t>
      </w:r>
      <w:r>
        <w:rPr>
          <w:rFonts w:ascii="Times New Roman" w:eastAsia="Times New Roman" w:hAnsi="Times New Roman" w:cs="Times New Roman"/>
        </w:rPr>
        <w:t>1.65</w:t>
      </w:r>
      <w:r>
        <w:rPr>
          <w:rFonts w:ascii="SimSun" w:eastAsia="SimSun" w:hAnsi="SimSun" w:cs="SimSun"/>
        </w:rPr>
        <w:t>米；助产专业女生身高不低于</w:t>
      </w:r>
      <w:r>
        <w:rPr>
          <w:rFonts w:ascii="Times New Roman" w:eastAsia="Times New Roman" w:hAnsi="Times New Roman" w:cs="Times New Roman"/>
        </w:rPr>
        <w:t>1.55</w:t>
      </w:r>
      <w:r>
        <w:rPr>
          <w:rFonts w:ascii="SimSun" w:eastAsia="SimSun" w:hAnsi="SimSun" w:cs="SimSun"/>
        </w:rPr>
        <w:t>米；医学美容技术专业身高不低于</w:t>
      </w:r>
      <w:r>
        <w:rPr>
          <w:rFonts w:ascii="Times New Roman" w:eastAsia="Times New Roman" w:hAnsi="Times New Roman" w:cs="Times New Roman"/>
        </w:rPr>
        <w:t>1.5</w:t>
      </w:r>
      <w:r>
        <w:rPr>
          <w:rFonts w:ascii="SimSun" w:eastAsia="SimSun" w:hAnsi="SimSun" w:cs="SimSun"/>
        </w:rPr>
        <w:t>米。鉴于行业要求和就业特点，医学美容技术要求面部无明显疤痕，四肢残疾、脊柱畸形考生勿报考该专业。我校对身体不达报考专业要求的考生将予以调剂或退档。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我校自</w:t>
      </w:r>
      <w:r>
        <w:rPr>
          <w:rFonts w:ascii="Times New Roman" w:eastAsia="Times New Roman" w:hAnsi="Times New Roman" w:cs="Times New Roman"/>
        </w:rPr>
        <w:t>2019</w:t>
      </w:r>
      <w:r>
        <w:rPr>
          <w:rFonts w:ascii="SimSun" w:eastAsia="SimSun" w:hAnsi="SimSun" w:cs="SimSun"/>
        </w:rPr>
        <w:t>年起与加拿大博瓦立学院合作举办护理专业高等专科学历教育项目，教育部批准书编号</w:t>
      </w:r>
      <w:r>
        <w:rPr>
          <w:rFonts w:ascii="Times New Roman" w:eastAsia="Times New Roman" w:hAnsi="Times New Roman" w:cs="Times New Roman"/>
        </w:rPr>
        <w:t>PDE50CA3A20181009N</w:t>
      </w:r>
      <w:r>
        <w:rPr>
          <w:rFonts w:ascii="SimSun" w:eastAsia="SimSun" w:hAnsi="SimSun" w:cs="SimSun"/>
        </w:rPr>
        <w:t>，专业代码</w:t>
      </w:r>
      <w:r>
        <w:rPr>
          <w:rFonts w:ascii="Times New Roman" w:eastAsia="Times New Roman" w:hAnsi="Times New Roman" w:cs="Times New Roman"/>
        </w:rPr>
        <w:t>620201H</w:t>
      </w:r>
      <w:r>
        <w:rPr>
          <w:rFonts w:ascii="SimSun" w:eastAsia="SimSun" w:hAnsi="SimSun" w:cs="SimSun"/>
        </w:rPr>
        <w:t>。中外合作办学项目只招收填报了相应专业志愿的考生，要求外语语种为英语，且考试成绩达到总分的</w:t>
      </w:r>
      <w:r>
        <w:rPr>
          <w:rFonts w:ascii="Times New Roman" w:eastAsia="Times New Roman" w:hAnsi="Times New Roman" w:cs="Times New Roman"/>
        </w:rPr>
        <w:t>60%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招生录取工作严格按照国家招生政策和学校招生章程执行，如有争议，由学校招生录取工作领导小组集体商议解决。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录取结束后，学校将及时在校园网上公布录取结果，考生可登录重庆三峡医药高等专科学校招生信息网查询。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凡被我校录取的考生，由学校寄发通知书给考生本人。对规定期限内没有报到又未向学校提出延期报到书面申请的学生，学籍注册为</w:t>
      </w:r>
      <w:r>
        <w:rPr>
          <w:rFonts w:ascii="Times New Roman" w:eastAsia="Times New Roman" w:hAnsi="Times New Roman" w:cs="Times New Roman"/>
        </w:rPr>
        <w:t>“</w:t>
      </w:r>
      <w:r>
        <w:rPr>
          <w:rFonts w:ascii="SimSun" w:eastAsia="SimSun" w:hAnsi="SimSun" w:cs="SimSun"/>
        </w:rPr>
        <w:t>放弃入学资格</w:t>
      </w:r>
      <w:r>
        <w:rPr>
          <w:rFonts w:ascii="Times New Roman" w:eastAsia="Times New Roman" w:hAnsi="Times New Roman" w:cs="Times New Roman"/>
        </w:rPr>
        <w:t>”</w:t>
      </w:r>
      <w:r>
        <w:rPr>
          <w:rFonts w:ascii="SimSun" w:eastAsia="SimSun" w:hAnsi="SimSun" w:cs="SimSun"/>
        </w:rPr>
        <w:t>，由此带来的一切后果学生自负。新生入学后，学校将在三个月内按照国家招生规定对其进行复查，复查不合格者，学校将区别情况予以处理，直至取消学籍。在校期间，学校一旦发现并查实高考录取弄虚作假者，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中外合作办学项目学费标准以重庆市物价局最终审批为准，其他专业收费标准为</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—8125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生（具体收费标准随各省招生考试主管部门公布的重庆三峡医药高等专科学校招生专业及计划情况一并公布）。住宿费：</w:t>
      </w:r>
      <w:r>
        <w:rPr>
          <w:rFonts w:ascii="Times New Roman" w:eastAsia="Times New Roman" w:hAnsi="Times New Roman" w:cs="Times New Roman"/>
        </w:rPr>
        <w:t>700-1000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具体收费根据学生居住的寝室类别为准。详细收费标准在学校官网公示专栏、新生入学手册及新生报到现场进行公示。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奖贷助学金及贫困生资助：按国家相关资助政策规定，符合条件在校学生可享受国家奖学金（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年）。另，学校设立奖学金和助学金，全年总计投入</w:t>
      </w:r>
      <w:r>
        <w:rPr>
          <w:rFonts w:ascii="Times New Roman" w:eastAsia="Times New Roman" w:hAnsi="Times New Roman" w:cs="Times New Roman"/>
        </w:rPr>
        <w:t>300</w:t>
      </w:r>
      <w:r>
        <w:rPr>
          <w:rFonts w:ascii="SimSun" w:eastAsia="SimSun" w:hAnsi="SimSun" w:cs="SimSun"/>
        </w:rPr>
        <w:t>万元。同时，按国家相关助学贷款政策，对符合条件的家庭经济困难学生可在生源地教育行政管理部门下属的学生资助管理中心申请办理生源地信用助学贷款。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学历证书颁发：符合毕业条件的学生，颁发国家承认学历、经教育部电子注册的重庆三峡医药高等专科学校全日制普通专科毕业证书。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www.sxyyc.net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w:t>
      </w:r>
      <w:r>
        <w:rPr>
          <w:rFonts w:ascii="Times New Roman" w:eastAsia="Times New Roman" w:hAnsi="Times New Roman" w:cs="Times New Roman"/>
        </w:rPr>
        <w:t xml:space="preserve">www.sxyyc.net/index_22.html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023-58556856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 xml:space="preserve">023-58556866  023-58556868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sxyzzb14008@126.com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招办地址：重庆市万州区百安坝天星路</w:t>
      </w:r>
      <w:r>
        <w:rPr>
          <w:rFonts w:ascii="Times New Roman" w:eastAsia="Times New Roman" w:hAnsi="Times New Roman" w:cs="Times New Roman"/>
        </w:rPr>
        <w:t>366</w:t>
      </w:r>
      <w:r>
        <w:rPr>
          <w:rFonts w:ascii="SimSun" w:eastAsia="SimSun" w:hAnsi="SimSun" w:cs="SimSun"/>
        </w:rPr>
        <w:t>号重庆三峡医药高等专科学校行政楼一楼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404120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本章程适用于重庆三峡医药高等专科学校</w:t>
      </w:r>
      <w:r>
        <w:rPr>
          <w:rFonts w:ascii="Times New Roman" w:eastAsia="Times New Roman" w:hAnsi="Times New Roman" w:cs="Times New Roman"/>
        </w:rPr>
        <w:t>2019</w:t>
      </w:r>
      <w:r>
        <w:rPr>
          <w:rFonts w:ascii="SimSun" w:eastAsia="SimSun" w:hAnsi="SimSun" w:cs="SimSun"/>
        </w:rPr>
        <w:t>年普通高校统一考试招生录取工作，具体事宜由学校招生处负责解释。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招生章程是学校一切招生行为的基本准则，在每年高校招生工作开展前将根据实际情况进行修订和完善，并最终以学校当年审议公布为准，审议通过之日起执行。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年全日制普通高职（专科）招生章程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重庆青年职业技术学院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2.html" TargetMode="External" /><Relationship Id="rId5" Type="http://schemas.openxmlformats.org/officeDocument/2006/relationships/hyperlink" Target="http://www.gk114.com/a/gxzs/zszc/chongqing/2019/0613/986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