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重庆交通大学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年全日制普通本科招生章程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600" w:lineRule="atLeast"/>
        <w:ind w:left="0" w:right="0" w:firstLine="645"/>
        <w:jc w:val="center"/>
        <w:rPr>
          <w:rFonts w:ascii="Microsoft YaHei" w:eastAsia="Microsoft YaHei" w:hAnsi="Microsoft YaHei" w:cs="Microsoft YaHei"/>
          <w:color w:val="666666"/>
          <w:sz w:val="21"/>
          <w:szCs w:val="21"/>
        </w:rPr>
      </w:pPr>
      <w:r>
        <w:rPr>
          <w:rFonts w:ascii="SimSun" w:eastAsia="SimSun" w:hAnsi="SimSun" w:cs="SimSun"/>
          <w:b/>
          <w:bCs/>
          <w:color w:val="666666"/>
          <w:sz w:val="27"/>
          <w:szCs w:val="27"/>
        </w:rPr>
        <w:t>第一章  总  则</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Sun" w:eastAsia="SimSun" w:hAnsi="SimSun" w:cs="SimSun"/>
          <w:color w:val="666666"/>
        </w:rPr>
        <w:t>第一条  为规范招生工作，切实维护学校和考生的合法权益，确保学校招生工作顺利进行，根据《中华人民共和国教育法》《中华人民共和国高等教育法》和教育主管部门有关政策和规定，结合重庆交通大学实际情况，特制定本章程。</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Sun" w:eastAsia="SimSun" w:hAnsi="SimSun" w:cs="SimSun"/>
          <w:color w:val="666666"/>
        </w:rPr>
        <w:t>第二条  学校概况。</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Sun" w:eastAsia="SimSun" w:hAnsi="SimSun" w:cs="SimSun"/>
          <w:color w:val="666666"/>
        </w:rPr>
        <w:t>1.重庆交通大学创办于1951年，是教育部批准的具有高等学历教育招生资格的公办普通高等学校，现由交通运输部与重庆市共建，重庆市人民政府主办、重庆市教育委员会主管，院校国标代码10618。现有南岸、双福、大坪三个校区。南岸校区位于重庆市南岸区学府大道66号，双福校区位于重庆市双福新区福星大道1号，大坪校区位于重庆市渝中区大黄路107号。各专业就读地点以各省（市、区）招办公布的招生计划中的说明以及新生入学须知公布的内容为准。</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Sun" w:eastAsia="SimSun" w:hAnsi="SimSun" w:cs="SimSun"/>
          <w:color w:val="666666"/>
        </w:rPr>
        <w:t>2.重庆交通大学是一所交通特色鲜明、以工为主的多科性大学，坐落在历史文化名城重庆，校园占地2893亩。现有全日制在校生2.7万名，其中普通本科在校生2.3万余名，在校硕博士研究生3000。学校高度重视毕业生就业工作，先后入选首批“全国毕业生就业典型经验高校”和首批“全国创新创业典型经验高校”。</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Sun" w:eastAsia="SimSun" w:hAnsi="SimSun" w:cs="SimSun"/>
          <w:color w:val="666666"/>
        </w:rPr>
        <w:t>学校现有专任教师近1500人，高级职称700余人，长江学者特聘教授、“千人计划”“万人计划”科技创新领军人才、“百千万人才工程”国家级人选、交通运输部“十百千人才工程”、重庆市“巴渝学者”等国家和省部级人才120余人次。馆藏纸质和电子文献440余万册，教学科研仪器设备总值4.39亿元。</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Sun" w:eastAsia="SimSun" w:hAnsi="SimSun" w:cs="SimSun"/>
          <w:color w:val="666666"/>
        </w:rPr>
        <w:t>第三条   组织机构。</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Sun" w:eastAsia="SimSun" w:hAnsi="SimSun" w:cs="SimSun"/>
          <w:color w:val="666666"/>
        </w:rPr>
        <w:t>学校成立由校领导、校纪检监察处等相关部门负责人、校友代表、教师代表、学生代表组成的全日制普通本科招生委员会，领导全日制普通本科招生工作；招生与就业工作处具体组织、实施普通本科招生工作。</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Sun" w:eastAsia="SimSun" w:hAnsi="SimSun" w:cs="SimSun"/>
          <w:color w:val="666666"/>
        </w:rPr>
        <w:t>第四条  学生在学校规定年限内，修满人才培养方案规定的毕业最低学分，德、智、体达到毕业要求，学校颁发毕业证书；符合学士学位授予条件，学校授予学士学位。</w:t>
      </w:r>
    </w:p>
    <w:p>
      <w:pPr>
        <w:pBdr>
          <w:top w:val="none" w:sz="0" w:space="0" w:color="auto"/>
          <w:left w:val="none" w:sz="0" w:space="0" w:color="auto"/>
          <w:bottom w:val="none" w:sz="0" w:space="0" w:color="auto"/>
          <w:right w:val="none" w:sz="0" w:space="0" w:color="auto"/>
        </w:pBdr>
        <w:spacing w:before="240" w:after="120" w:line="600" w:lineRule="atLeast"/>
        <w:ind w:left="0" w:right="0" w:firstLine="645"/>
        <w:jc w:val="center"/>
        <w:rPr>
          <w:rFonts w:ascii="Microsoft YaHei" w:eastAsia="Microsoft YaHei" w:hAnsi="Microsoft YaHei" w:cs="Microsoft YaHei"/>
          <w:color w:val="666666"/>
          <w:sz w:val="21"/>
          <w:szCs w:val="21"/>
        </w:rPr>
      </w:pPr>
      <w:r>
        <w:rPr>
          <w:rFonts w:ascii="SimSun" w:eastAsia="SimSun" w:hAnsi="SimSun" w:cs="SimSun"/>
          <w:b/>
          <w:bCs/>
          <w:color w:val="666666"/>
          <w:sz w:val="27"/>
          <w:szCs w:val="27"/>
        </w:rPr>
        <w:t>第二章  招生计划</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Sun" w:eastAsia="SimSun" w:hAnsi="SimSun" w:cs="SimSun"/>
          <w:color w:val="666666"/>
        </w:rPr>
        <w:t>第五条  学校按照国家有关招生政策，本着教育公平的原则，统筹考虑招生省份的生源数量、生源质量、人才需求、毕业生就业等情况，结合自身办学条件编制分省分专业招生计划。招生计划报教育部审批后，通过各省级招生主管部门、学校网站等形式，及时向考生和社会公布。</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Sun" w:eastAsia="SimSun" w:hAnsi="SimSun" w:cs="SimSun"/>
          <w:color w:val="666666"/>
        </w:rPr>
        <w:t>第六条  根据教育部相关政策，我校预留本科招生计划</w:t>
      </w:r>
      <w:r>
        <w:rPr>
          <w:rFonts w:ascii="SimSun" w:eastAsia="SimSun" w:hAnsi="SimSun" w:cs="SimSun"/>
          <w:color w:val="FF0000"/>
          <w:sz w:val="27"/>
          <w:szCs w:val="27"/>
        </w:rPr>
        <w:t>60</w:t>
      </w:r>
      <w:r>
        <w:rPr>
          <w:rFonts w:ascii="SimSun" w:eastAsia="SimSun" w:hAnsi="SimSun" w:cs="SimSun"/>
          <w:color w:val="666666"/>
        </w:rPr>
        <w:t>名，主要用于调节生源地线上生源不平衡问题。</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Sun" w:eastAsia="SimSun" w:hAnsi="SimSun" w:cs="SimSun"/>
          <w:color w:val="666666"/>
        </w:rPr>
        <w:t>第七条  我校2019年普通本科招生专业共计60个，其中</w:t>
      </w:r>
      <w:r>
        <w:rPr>
          <w:rFonts w:ascii="SimSun" w:eastAsia="SimSun" w:hAnsi="SimSun" w:cs="SimSun"/>
          <w:color w:val="666666"/>
          <w:spacing w:val="-15"/>
          <w:sz w:val="27"/>
          <w:szCs w:val="27"/>
        </w:rPr>
        <w:t>37个普通本科专业按15个大类进行招生；中外合作办学普通本科招生专业1个。大类招生情况具体如下：</w:t>
      </w:r>
    </w:p>
    <w:tbl>
      <w:tblPr>
        <w:tblW w:w="14326"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1590"/>
        <w:gridCol w:w="2980"/>
        <w:gridCol w:w="9636"/>
      </w:tblGrid>
      <w:tr>
        <w:tblPrEx>
          <w:tblW w:w="14326"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570"/>
        </w:trPr>
        <w:tc>
          <w:tcPr>
            <w:tcW w:w="132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464545"/>
                <w:sz w:val="21"/>
                <w:szCs w:val="21"/>
              </w:rPr>
              <w:t>序号</w:t>
            </w:r>
          </w:p>
        </w:tc>
        <w:tc>
          <w:tcPr>
            <w:tcW w:w="273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464545"/>
                <w:sz w:val="21"/>
                <w:szCs w:val="21"/>
              </w:rPr>
              <w:t>招生大类</w:t>
            </w:r>
          </w:p>
        </w:tc>
        <w:tc>
          <w:tcPr>
            <w:tcW w:w="513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464545"/>
                <w:sz w:val="21"/>
                <w:szCs w:val="21"/>
              </w:rPr>
              <w:t>大类所含专业</w:t>
            </w:r>
          </w:p>
        </w:tc>
      </w:tr>
      <w:tr>
        <w:tblPrEx>
          <w:tblW w:w="14326" w:type="dxa"/>
          <w:tblInd w:w="165" w:type="dxa"/>
          <w:tblCellMar>
            <w:top w:w="0" w:type="dxa"/>
            <w:left w:w="0" w:type="dxa"/>
            <w:bottom w:w="0" w:type="dxa"/>
            <w:right w:w="0" w:type="dxa"/>
          </w:tblCellMar>
        </w:tblPrEx>
        <w:trPr>
          <w:trHeight w:val="300"/>
        </w:trPr>
        <w:tc>
          <w:tcPr>
            <w:tcW w:w="132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464545"/>
                <w:sz w:val="21"/>
                <w:szCs w:val="21"/>
              </w:rPr>
              <w:t>1</w:t>
            </w:r>
          </w:p>
        </w:tc>
        <w:tc>
          <w:tcPr>
            <w:tcW w:w="27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464545"/>
                <w:sz w:val="21"/>
                <w:szCs w:val="21"/>
              </w:rPr>
              <w:t>土木类</w:t>
            </w:r>
          </w:p>
        </w:tc>
        <w:tc>
          <w:tcPr>
            <w:tcW w:w="51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464545"/>
                <w:sz w:val="21"/>
                <w:szCs w:val="21"/>
              </w:rPr>
              <w:t>土木工程、道路桥梁与渡河工程</w:t>
            </w:r>
          </w:p>
        </w:tc>
      </w:tr>
      <w:tr>
        <w:tblPrEx>
          <w:tblW w:w="14326" w:type="dxa"/>
          <w:tblInd w:w="165" w:type="dxa"/>
          <w:tblCellMar>
            <w:top w:w="0" w:type="dxa"/>
            <w:left w:w="0" w:type="dxa"/>
            <w:bottom w:w="0" w:type="dxa"/>
            <w:right w:w="0" w:type="dxa"/>
          </w:tblCellMar>
        </w:tblPrEx>
        <w:trPr>
          <w:trHeight w:val="300"/>
        </w:trPr>
        <w:tc>
          <w:tcPr>
            <w:tcW w:w="132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464545"/>
                <w:sz w:val="21"/>
                <w:szCs w:val="21"/>
              </w:rPr>
              <w:t>2</w:t>
            </w:r>
          </w:p>
        </w:tc>
        <w:tc>
          <w:tcPr>
            <w:tcW w:w="27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464545"/>
                <w:sz w:val="21"/>
                <w:szCs w:val="21"/>
              </w:rPr>
              <w:t>水利类</w:t>
            </w:r>
          </w:p>
        </w:tc>
        <w:tc>
          <w:tcPr>
            <w:tcW w:w="51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464545"/>
                <w:sz w:val="21"/>
                <w:szCs w:val="21"/>
              </w:rPr>
              <w:t>水利水电工程、港口航道与海岸工程</w:t>
            </w:r>
          </w:p>
        </w:tc>
      </w:tr>
      <w:tr>
        <w:tblPrEx>
          <w:tblW w:w="14326" w:type="dxa"/>
          <w:tblInd w:w="165" w:type="dxa"/>
          <w:tblCellMar>
            <w:top w:w="0" w:type="dxa"/>
            <w:left w:w="0" w:type="dxa"/>
            <w:bottom w:w="0" w:type="dxa"/>
            <w:right w:w="0" w:type="dxa"/>
          </w:tblCellMar>
        </w:tblPrEx>
        <w:trPr>
          <w:trHeight w:val="300"/>
        </w:trPr>
        <w:tc>
          <w:tcPr>
            <w:tcW w:w="132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464545"/>
                <w:sz w:val="21"/>
                <w:szCs w:val="21"/>
              </w:rPr>
              <w:t>3</w:t>
            </w:r>
          </w:p>
        </w:tc>
        <w:tc>
          <w:tcPr>
            <w:tcW w:w="27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464545"/>
                <w:sz w:val="21"/>
                <w:szCs w:val="21"/>
              </w:rPr>
              <w:t>交通运输类</w:t>
            </w:r>
          </w:p>
        </w:tc>
        <w:tc>
          <w:tcPr>
            <w:tcW w:w="51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464545"/>
                <w:sz w:val="21"/>
                <w:szCs w:val="21"/>
              </w:rPr>
              <w:t>交通运输、交通工程、交通设备与控制工程</w:t>
            </w:r>
          </w:p>
        </w:tc>
      </w:tr>
      <w:tr>
        <w:tblPrEx>
          <w:tblW w:w="14326" w:type="dxa"/>
          <w:tblInd w:w="165" w:type="dxa"/>
          <w:tblCellMar>
            <w:top w:w="0" w:type="dxa"/>
            <w:left w:w="0" w:type="dxa"/>
            <w:bottom w:w="0" w:type="dxa"/>
            <w:right w:w="0" w:type="dxa"/>
          </w:tblCellMar>
        </w:tblPrEx>
        <w:trPr>
          <w:trHeight w:val="300"/>
        </w:trPr>
        <w:tc>
          <w:tcPr>
            <w:tcW w:w="132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464545"/>
                <w:sz w:val="21"/>
                <w:szCs w:val="21"/>
              </w:rPr>
              <w:t>4</w:t>
            </w:r>
          </w:p>
        </w:tc>
        <w:tc>
          <w:tcPr>
            <w:tcW w:w="27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464545"/>
                <w:sz w:val="21"/>
                <w:szCs w:val="21"/>
              </w:rPr>
              <w:t>机械类</w:t>
            </w:r>
          </w:p>
        </w:tc>
        <w:tc>
          <w:tcPr>
            <w:tcW w:w="51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464545"/>
                <w:sz w:val="21"/>
                <w:szCs w:val="21"/>
              </w:rPr>
              <w:t>机械设计制造及其自动化、材料成型及控制工程、机械电子工程、车辆工程</w:t>
            </w:r>
          </w:p>
        </w:tc>
      </w:tr>
      <w:tr>
        <w:tblPrEx>
          <w:tblW w:w="14326" w:type="dxa"/>
          <w:tblInd w:w="165" w:type="dxa"/>
          <w:tblCellMar>
            <w:top w:w="0" w:type="dxa"/>
            <w:left w:w="0" w:type="dxa"/>
            <w:bottom w:w="0" w:type="dxa"/>
            <w:right w:w="0" w:type="dxa"/>
          </w:tblCellMar>
        </w:tblPrEx>
        <w:trPr>
          <w:trHeight w:val="300"/>
        </w:trPr>
        <w:tc>
          <w:tcPr>
            <w:tcW w:w="132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464545"/>
                <w:sz w:val="21"/>
                <w:szCs w:val="21"/>
              </w:rPr>
              <w:t>5</w:t>
            </w:r>
          </w:p>
        </w:tc>
        <w:tc>
          <w:tcPr>
            <w:tcW w:w="27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464545"/>
                <w:sz w:val="21"/>
                <w:szCs w:val="21"/>
              </w:rPr>
              <w:t>建筑类</w:t>
            </w:r>
          </w:p>
        </w:tc>
        <w:tc>
          <w:tcPr>
            <w:tcW w:w="51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464545"/>
                <w:sz w:val="21"/>
                <w:szCs w:val="21"/>
              </w:rPr>
              <w:t>建筑学、风景园林、城乡规划</w:t>
            </w:r>
          </w:p>
        </w:tc>
      </w:tr>
      <w:tr>
        <w:tblPrEx>
          <w:tblW w:w="14326" w:type="dxa"/>
          <w:tblInd w:w="165" w:type="dxa"/>
          <w:tblCellMar>
            <w:top w:w="0" w:type="dxa"/>
            <w:left w:w="0" w:type="dxa"/>
            <w:bottom w:w="0" w:type="dxa"/>
            <w:right w:w="0" w:type="dxa"/>
          </w:tblCellMar>
        </w:tblPrEx>
        <w:trPr>
          <w:trHeight w:val="300"/>
        </w:trPr>
        <w:tc>
          <w:tcPr>
            <w:tcW w:w="132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464545"/>
                <w:sz w:val="21"/>
                <w:szCs w:val="21"/>
              </w:rPr>
              <w:t>6</w:t>
            </w:r>
          </w:p>
        </w:tc>
        <w:tc>
          <w:tcPr>
            <w:tcW w:w="27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464545"/>
                <w:sz w:val="21"/>
                <w:szCs w:val="21"/>
              </w:rPr>
              <w:t>电子信息类</w:t>
            </w:r>
          </w:p>
        </w:tc>
        <w:tc>
          <w:tcPr>
            <w:tcW w:w="51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464545"/>
                <w:sz w:val="21"/>
                <w:szCs w:val="21"/>
              </w:rPr>
              <w:t>通信工程、电子信息工程</w:t>
            </w:r>
          </w:p>
        </w:tc>
      </w:tr>
      <w:tr>
        <w:tblPrEx>
          <w:tblW w:w="14326" w:type="dxa"/>
          <w:tblInd w:w="165" w:type="dxa"/>
          <w:tblCellMar>
            <w:top w:w="0" w:type="dxa"/>
            <w:left w:w="0" w:type="dxa"/>
            <w:bottom w:w="0" w:type="dxa"/>
            <w:right w:w="0" w:type="dxa"/>
          </w:tblCellMar>
        </w:tblPrEx>
        <w:trPr>
          <w:trHeight w:val="300"/>
        </w:trPr>
        <w:tc>
          <w:tcPr>
            <w:tcW w:w="132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464545"/>
                <w:sz w:val="21"/>
                <w:szCs w:val="21"/>
              </w:rPr>
              <w:t>7</w:t>
            </w:r>
          </w:p>
        </w:tc>
        <w:tc>
          <w:tcPr>
            <w:tcW w:w="27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464545"/>
                <w:sz w:val="21"/>
                <w:szCs w:val="21"/>
              </w:rPr>
              <w:t>管理科学与工程类</w:t>
            </w:r>
          </w:p>
        </w:tc>
        <w:tc>
          <w:tcPr>
            <w:tcW w:w="51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464545"/>
                <w:sz w:val="21"/>
                <w:szCs w:val="21"/>
              </w:rPr>
              <w:t>工程管理、工程造价、</w:t>
            </w:r>
          </w:p>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464545"/>
                <w:sz w:val="21"/>
                <w:szCs w:val="21"/>
              </w:rPr>
              <w:t>信息管理与信息系统</w:t>
            </w:r>
          </w:p>
        </w:tc>
      </w:tr>
      <w:tr>
        <w:tblPrEx>
          <w:tblW w:w="14326" w:type="dxa"/>
          <w:tblInd w:w="165" w:type="dxa"/>
          <w:tblCellMar>
            <w:top w:w="0" w:type="dxa"/>
            <w:left w:w="0" w:type="dxa"/>
            <w:bottom w:w="0" w:type="dxa"/>
            <w:right w:w="0" w:type="dxa"/>
          </w:tblCellMar>
        </w:tblPrEx>
        <w:trPr>
          <w:trHeight w:val="300"/>
        </w:trPr>
        <w:tc>
          <w:tcPr>
            <w:tcW w:w="132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464545"/>
                <w:sz w:val="21"/>
                <w:szCs w:val="21"/>
              </w:rPr>
              <w:t>8</w:t>
            </w:r>
          </w:p>
        </w:tc>
        <w:tc>
          <w:tcPr>
            <w:tcW w:w="27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464545"/>
                <w:sz w:val="21"/>
                <w:szCs w:val="21"/>
              </w:rPr>
              <w:t>工商管理类</w:t>
            </w:r>
          </w:p>
        </w:tc>
        <w:tc>
          <w:tcPr>
            <w:tcW w:w="51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464545"/>
                <w:sz w:val="21"/>
                <w:szCs w:val="21"/>
              </w:rPr>
              <w:t>工商管理、会计学、市场营销</w:t>
            </w:r>
          </w:p>
        </w:tc>
      </w:tr>
      <w:tr>
        <w:tblPrEx>
          <w:tblW w:w="14326" w:type="dxa"/>
          <w:tblInd w:w="165" w:type="dxa"/>
          <w:tblCellMar>
            <w:top w:w="0" w:type="dxa"/>
            <w:left w:w="0" w:type="dxa"/>
            <w:bottom w:w="0" w:type="dxa"/>
            <w:right w:w="0" w:type="dxa"/>
          </w:tblCellMar>
        </w:tblPrEx>
        <w:trPr>
          <w:trHeight w:val="300"/>
        </w:trPr>
        <w:tc>
          <w:tcPr>
            <w:tcW w:w="132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464545"/>
                <w:sz w:val="21"/>
                <w:szCs w:val="21"/>
              </w:rPr>
              <w:t>9</w:t>
            </w:r>
          </w:p>
        </w:tc>
        <w:tc>
          <w:tcPr>
            <w:tcW w:w="27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464545"/>
                <w:sz w:val="21"/>
                <w:szCs w:val="21"/>
              </w:rPr>
              <w:t>数学类</w:t>
            </w:r>
          </w:p>
        </w:tc>
        <w:tc>
          <w:tcPr>
            <w:tcW w:w="51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464545"/>
                <w:sz w:val="21"/>
                <w:szCs w:val="21"/>
              </w:rPr>
              <w:t>数学与应用数学、信息与计算科学</w:t>
            </w:r>
          </w:p>
        </w:tc>
      </w:tr>
      <w:tr>
        <w:tblPrEx>
          <w:tblW w:w="14326" w:type="dxa"/>
          <w:tblInd w:w="165" w:type="dxa"/>
          <w:tblCellMar>
            <w:top w:w="0" w:type="dxa"/>
            <w:left w:w="0" w:type="dxa"/>
            <w:bottom w:w="0" w:type="dxa"/>
            <w:right w:w="0" w:type="dxa"/>
          </w:tblCellMar>
        </w:tblPrEx>
        <w:trPr>
          <w:trHeight w:val="300"/>
        </w:trPr>
        <w:tc>
          <w:tcPr>
            <w:tcW w:w="132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464545"/>
                <w:sz w:val="21"/>
                <w:szCs w:val="21"/>
              </w:rPr>
              <w:t>10</w:t>
            </w:r>
          </w:p>
        </w:tc>
        <w:tc>
          <w:tcPr>
            <w:tcW w:w="27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464545"/>
                <w:sz w:val="21"/>
                <w:szCs w:val="21"/>
              </w:rPr>
              <w:t>外国语言文学类</w:t>
            </w:r>
          </w:p>
        </w:tc>
        <w:tc>
          <w:tcPr>
            <w:tcW w:w="51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464545"/>
                <w:sz w:val="21"/>
                <w:szCs w:val="21"/>
              </w:rPr>
              <w:t>英语、翻译</w:t>
            </w:r>
          </w:p>
        </w:tc>
      </w:tr>
      <w:tr>
        <w:tblPrEx>
          <w:tblW w:w="14326" w:type="dxa"/>
          <w:tblInd w:w="165" w:type="dxa"/>
          <w:tblCellMar>
            <w:top w:w="0" w:type="dxa"/>
            <w:left w:w="0" w:type="dxa"/>
            <w:bottom w:w="0" w:type="dxa"/>
            <w:right w:w="0" w:type="dxa"/>
          </w:tblCellMar>
        </w:tblPrEx>
        <w:trPr>
          <w:trHeight w:val="300"/>
        </w:trPr>
        <w:tc>
          <w:tcPr>
            <w:tcW w:w="132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464545"/>
                <w:sz w:val="21"/>
                <w:szCs w:val="21"/>
              </w:rPr>
              <w:t>11</w:t>
            </w:r>
          </w:p>
        </w:tc>
        <w:tc>
          <w:tcPr>
            <w:tcW w:w="27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464545"/>
                <w:sz w:val="21"/>
                <w:szCs w:val="21"/>
              </w:rPr>
              <w:t>设计学类</w:t>
            </w:r>
          </w:p>
        </w:tc>
        <w:tc>
          <w:tcPr>
            <w:tcW w:w="51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464545"/>
                <w:sz w:val="21"/>
                <w:szCs w:val="21"/>
              </w:rPr>
              <w:t>视觉传达设计、环境设计、产品设计</w:t>
            </w:r>
          </w:p>
        </w:tc>
      </w:tr>
      <w:tr>
        <w:tblPrEx>
          <w:tblW w:w="14326" w:type="dxa"/>
          <w:tblInd w:w="165" w:type="dxa"/>
          <w:tblCellMar>
            <w:top w:w="0" w:type="dxa"/>
            <w:left w:w="0" w:type="dxa"/>
            <w:bottom w:w="0" w:type="dxa"/>
            <w:right w:w="0" w:type="dxa"/>
          </w:tblCellMar>
        </w:tblPrEx>
        <w:trPr>
          <w:trHeight w:val="300"/>
        </w:trPr>
        <w:tc>
          <w:tcPr>
            <w:tcW w:w="132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464545"/>
                <w:sz w:val="21"/>
                <w:szCs w:val="21"/>
              </w:rPr>
              <w:t>12</w:t>
            </w:r>
          </w:p>
        </w:tc>
        <w:tc>
          <w:tcPr>
            <w:tcW w:w="27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464545"/>
                <w:sz w:val="21"/>
                <w:szCs w:val="21"/>
              </w:rPr>
              <w:t>地理科学类</w:t>
            </w:r>
          </w:p>
        </w:tc>
        <w:tc>
          <w:tcPr>
            <w:tcW w:w="51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464545"/>
                <w:sz w:val="21"/>
                <w:szCs w:val="21"/>
              </w:rPr>
              <w:t>人文地理与城乡规划、地理信息科学</w:t>
            </w:r>
          </w:p>
        </w:tc>
      </w:tr>
      <w:tr>
        <w:tblPrEx>
          <w:tblW w:w="14326" w:type="dxa"/>
          <w:tblInd w:w="165" w:type="dxa"/>
          <w:tblCellMar>
            <w:top w:w="0" w:type="dxa"/>
            <w:left w:w="0" w:type="dxa"/>
            <w:bottom w:w="0" w:type="dxa"/>
            <w:right w:w="0" w:type="dxa"/>
          </w:tblCellMar>
        </w:tblPrEx>
        <w:trPr>
          <w:trHeight w:val="300"/>
        </w:trPr>
        <w:tc>
          <w:tcPr>
            <w:tcW w:w="132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464545"/>
                <w:sz w:val="21"/>
                <w:szCs w:val="21"/>
              </w:rPr>
              <w:t>13</w:t>
            </w:r>
          </w:p>
        </w:tc>
        <w:tc>
          <w:tcPr>
            <w:tcW w:w="27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464545"/>
                <w:sz w:val="21"/>
                <w:szCs w:val="21"/>
              </w:rPr>
              <w:t>计算机类</w:t>
            </w:r>
          </w:p>
        </w:tc>
        <w:tc>
          <w:tcPr>
            <w:tcW w:w="51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464545"/>
                <w:sz w:val="21"/>
                <w:szCs w:val="21"/>
              </w:rPr>
              <w:t>计算机科学与技术、物联网工程</w:t>
            </w:r>
          </w:p>
        </w:tc>
      </w:tr>
      <w:tr>
        <w:tblPrEx>
          <w:tblW w:w="14326" w:type="dxa"/>
          <w:tblInd w:w="165" w:type="dxa"/>
          <w:tblCellMar>
            <w:top w:w="0" w:type="dxa"/>
            <w:left w:w="0" w:type="dxa"/>
            <w:bottom w:w="0" w:type="dxa"/>
            <w:right w:w="0" w:type="dxa"/>
          </w:tblCellMar>
        </w:tblPrEx>
        <w:trPr>
          <w:trHeight w:val="300"/>
        </w:trPr>
        <w:tc>
          <w:tcPr>
            <w:tcW w:w="132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464545"/>
                <w:sz w:val="21"/>
                <w:szCs w:val="21"/>
              </w:rPr>
              <w:t>14</w:t>
            </w:r>
          </w:p>
        </w:tc>
        <w:tc>
          <w:tcPr>
            <w:tcW w:w="27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464545"/>
                <w:sz w:val="21"/>
                <w:szCs w:val="21"/>
              </w:rPr>
              <w:t>材料类</w:t>
            </w:r>
          </w:p>
        </w:tc>
        <w:tc>
          <w:tcPr>
            <w:tcW w:w="51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464545"/>
                <w:sz w:val="21"/>
                <w:szCs w:val="21"/>
              </w:rPr>
              <w:t>材料科学与工程、材料物理</w:t>
            </w:r>
          </w:p>
        </w:tc>
      </w:tr>
      <w:tr>
        <w:tblPrEx>
          <w:tblW w:w="14326" w:type="dxa"/>
          <w:tblInd w:w="165" w:type="dxa"/>
          <w:tblCellMar>
            <w:top w:w="0" w:type="dxa"/>
            <w:left w:w="0" w:type="dxa"/>
            <w:bottom w:w="0" w:type="dxa"/>
            <w:right w:w="0" w:type="dxa"/>
          </w:tblCellMar>
        </w:tblPrEx>
        <w:trPr>
          <w:trHeight w:val="300"/>
        </w:trPr>
        <w:tc>
          <w:tcPr>
            <w:tcW w:w="132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464545"/>
                <w:sz w:val="21"/>
                <w:szCs w:val="21"/>
              </w:rPr>
              <w:t>15</w:t>
            </w:r>
          </w:p>
        </w:tc>
        <w:tc>
          <w:tcPr>
            <w:tcW w:w="27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464545"/>
                <w:sz w:val="21"/>
                <w:szCs w:val="21"/>
              </w:rPr>
              <w:t>新闻传播学类</w:t>
            </w:r>
          </w:p>
        </w:tc>
        <w:tc>
          <w:tcPr>
            <w:tcW w:w="51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464545"/>
                <w:sz w:val="21"/>
                <w:szCs w:val="21"/>
              </w:rPr>
              <w:t>广播电视学、广告学</w:t>
            </w:r>
          </w:p>
        </w:tc>
      </w:tr>
    </w:tbl>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Sun" w:eastAsia="SimSun" w:hAnsi="SimSun" w:cs="SimSun"/>
          <w:color w:val="666666"/>
        </w:rPr>
        <w:t>各省（市、区）招生专业（类）及招生计划、录取批次以各省级招办或教育考试院公布的信息为准。</w:t>
      </w:r>
    </w:p>
    <w:p>
      <w:pPr>
        <w:pBdr>
          <w:top w:val="none" w:sz="0" w:space="0" w:color="auto"/>
          <w:left w:val="none" w:sz="0" w:space="0" w:color="auto"/>
          <w:bottom w:val="none" w:sz="0" w:space="0" w:color="auto"/>
          <w:right w:val="none" w:sz="0" w:space="0" w:color="auto"/>
        </w:pBdr>
        <w:spacing w:before="240" w:after="120" w:line="600" w:lineRule="atLeast"/>
        <w:ind w:left="0" w:right="0" w:firstLine="645"/>
        <w:jc w:val="center"/>
        <w:rPr>
          <w:rFonts w:ascii="Microsoft YaHei" w:eastAsia="Microsoft YaHei" w:hAnsi="Microsoft YaHei" w:cs="Microsoft YaHei"/>
          <w:color w:val="666666"/>
          <w:sz w:val="21"/>
          <w:szCs w:val="21"/>
        </w:rPr>
      </w:pPr>
      <w:r>
        <w:rPr>
          <w:rFonts w:ascii="SimSun" w:eastAsia="SimSun" w:hAnsi="SimSun" w:cs="SimSun"/>
          <w:b/>
          <w:bCs/>
          <w:color w:val="666666"/>
          <w:sz w:val="27"/>
          <w:szCs w:val="27"/>
        </w:rPr>
        <w:t>第三章  录取原则</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Sun" w:eastAsia="SimSun" w:hAnsi="SimSun" w:cs="SimSun"/>
          <w:color w:val="666666"/>
        </w:rPr>
        <w:t>第八条  学校遵循“公平竞争、公正选拔、公开程序，德智体全面考核，综合评价，择优录取”的原则，全面推进招生“阳光工程”建设，为国家和学校选拔优秀人才。</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Sun" w:eastAsia="SimSun" w:hAnsi="SimSun" w:cs="SimSun"/>
          <w:color w:val="666666"/>
        </w:rPr>
        <w:t>第九条  对实行“顺序志愿”填报的省市，我校按考生填报的学校志愿优先的原则，按投档分数从高分到低分择优录取符合条件的上线考生；若第一志愿生源不足，则录取非第一志愿的上线考生，直至招生计划完成。</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Sun" w:eastAsia="SimSun" w:hAnsi="SimSun" w:cs="SimSun"/>
          <w:color w:val="666666"/>
        </w:rPr>
        <w:t>第十条  对实行“平行志愿”填报的省市，我校按相关省市的规定执行；对实行高考综合改革的省市，我校按相关省市的规定执行。</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Sun" w:eastAsia="SimSun" w:hAnsi="SimSun" w:cs="SimSun"/>
          <w:color w:val="666666"/>
        </w:rPr>
        <w:t>第十一条  我校对考生的专业录取，按投档分数优先的原则，根据考生的专业志愿从高分到低分择优录取（有特殊规定的省市除外）。投档分数相同时，比较相关科目成绩：理工类考生比较“数学+外语”的总分，文史类考生比较“语文+外语”的总分。当考生投档成绩无法满足所填报的专业志愿时，若考生服从专业调剂，学校则根据考生投档成绩，从高分到低分自行调剂至该省市招生计划尚未录取满额且符合录取要求的专业，直至录取满额。对实行高考改革的省市，我校按相关省市的规定执行。</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方正仿宋_GBK" w:eastAsia="方正仿宋_GBK" w:hAnsi="方正仿宋_GBK" w:cs="方正仿宋_GBK"/>
          <w:color w:val="666666"/>
        </w:rPr>
        <w:t>对于普通本科专业和中外合作办学项目专业不分别投档的省（市、区），调剂到中外合作办学项目专业的考生，我校将征求考生意见，若专业调剂时，无法联系上考生，则视为考生自动放弃资格。</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Sun" w:eastAsia="SimSun" w:hAnsi="SimSun" w:cs="SimSun"/>
          <w:color w:val="666666"/>
        </w:rPr>
        <w:t>第十二条  艺术类专业录取原则：我校对艺术类考生的专业考试成绩采用相关省市专业联考成绩；在政治思想品德考核合格、参加了招生体检和文化、专业考试成绩达到同批控制分数线的情况下，在进档考生中，我校按照考生文化成绩和专业成绩的综合分排序，从高分到低分德智体全面考核，择优录取。</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Sun" w:eastAsia="SimSun" w:hAnsi="SimSun" w:cs="SimSun"/>
          <w:color w:val="666666"/>
        </w:rPr>
        <w:t>综合分计算办法为：考生高考文化成绩（不含高考政策性加分）×40%+专业成绩×60%。若出现考生综合成绩相同的情况，则比较考生的专业联考成绩总分，从高到低录取；若专业联考成绩总分相同，则比较考生“语文+外语”成绩总分，从高到低录取；若“语文+外语”成绩总分相同，则比较考生外语成绩，从高到低录取。</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Sun" w:eastAsia="SimSun" w:hAnsi="SimSun" w:cs="SimSun"/>
          <w:color w:val="666666"/>
        </w:rPr>
        <w:t>第十三条  对非第一院校志愿、加分或降分投档考生的处理，我校认可考生所在省市招办制定的相关规定。</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Sun" w:eastAsia="SimSun" w:hAnsi="SimSun" w:cs="SimSun"/>
          <w:color w:val="666666"/>
        </w:rPr>
        <w:t>第十四条  英语、翻译专业只招收英语语种考生。其他专业不限外语语种，但新生入学后，外语教学以英语为主。</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Sun" w:eastAsia="SimSun" w:hAnsi="SimSun" w:cs="SimSun"/>
          <w:color w:val="666666"/>
        </w:rPr>
        <w:t>第十五条  各专业录取不限男女比例，建议女生谨慎填报航海技术、轮机工程专业。</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Sun" w:eastAsia="SimSun" w:hAnsi="SimSun" w:cs="SimSun"/>
          <w:color w:val="666666"/>
        </w:rPr>
        <w:t>第十六条  各专业对考生身体健康状况的要求，参照教育部、卫生部、中国残联联合下发的《普通高等学校招生体检工作指导意见》的标准执行。航海技术、轮机工程、船舶电子电气工程专业要求双眼裸眼视力均在4.4或以上。</w:t>
      </w:r>
    </w:p>
    <w:p>
      <w:pPr>
        <w:pBdr>
          <w:top w:val="none" w:sz="0" w:space="0" w:color="auto"/>
          <w:left w:val="none" w:sz="0" w:space="0" w:color="auto"/>
          <w:bottom w:val="none" w:sz="0" w:space="0" w:color="auto"/>
          <w:right w:val="none" w:sz="0" w:space="0" w:color="auto"/>
        </w:pBdr>
        <w:spacing w:before="0" w:after="0" w:line="600" w:lineRule="atLeast"/>
        <w:ind w:left="0" w:right="45" w:firstLine="795"/>
        <w:rPr>
          <w:rFonts w:ascii="Microsoft YaHei" w:eastAsia="Microsoft YaHei" w:hAnsi="Microsoft YaHei" w:cs="Microsoft YaHei"/>
          <w:color w:val="666666"/>
          <w:sz w:val="21"/>
          <w:szCs w:val="21"/>
        </w:rPr>
      </w:pPr>
      <w:r>
        <w:rPr>
          <w:rFonts w:ascii="SimSun" w:eastAsia="SimSun" w:hAnsi="SimSun" w:cs="SimSun"/>
          <w:color w:val="666666"/>
        </w:rPr>
        <w:t>第十七条  我校2019年在重庆市全日制普通本科招生对考生学业水平测试及综合素质的要求按照重庆市教育委员会、重庆市教育考试院相关文件规定执行；在进档考生的投档成绩、相关科目成绩相同时，我校将参考考生学业水平测试等级和综合素质情况进行录取。</w:t>
      </w:r>
    </w:p>
    <w:p>
      <w:pPr>
        <w:pBdr>
          <w:top w:val="none" w:sz="0" w:space="0" w:color="auto"/>
          <w:left w:val="none" w:sz="0" w:space="0" w:color="auto"/>
          <w:bottom w:val="none" w:sz="0" w:space="0" w:color="auto"/>
          <w:right w:val="none" w:sz="0" w:space="0" w:color="auto"/>
        </w:pBdr>
        <w:spacing w:before="0" w:after="0" w:line="600" w:lineRule="atLeast"/>
        <w:ind w:left="0" w:right="0" w:firstLine="630"/>
        <w:rPr>
          <w:rFonts w:ascii="Microsoft YaHei" w:eastAsia="Microsoft YaHei" w:hAnsi="Microsoft YaHei" w:cs="Microsoft YaHei"/>
          <w:color w:val="666666"/>
          <w:sz w:val="21"/>
          <w:szCs w:val="21"/>
        </w:rPr>
      </w:pPr>
      <w:r>
        <w:rPr>
          <w:rFonts w:ascii="SimSun" w:eastAsia="SimSun" w:hAnsi="SimSun" w:cs="SimSun"/>
          <w:color w:val="666666"/>
        </w:rPr>
        <w:t>第十八条  内蒙古自治区考生的专业录取按照专业志愿清的原则择优录取。</w:t>
      </w:r>
    </w:p>
    <w:p>
      <w:pPr>
        <w:pBdr>
          <w:top w:val="none" w:sz="0" w:space="0" w:color="auto"/>
          <w:left w:val="none" w:sz="0" w:space="0" w:color="auto"/>
          <w:bottom w:val="none" w:sz="0" w:space="0" w:color="auto"/>
          <w:right w:val="none" w:sz="0" w:space="0" w:color="auto"/>
        </w:pBdr>
        <w:spacing w:before="0" w:after="0" w:line="600" w:lineRule="atLeast"/>
        <w:ind w:left="0" w:right="0" w:firstLine="630"/>
        <w:rPr>
          <w:rFonts w:ascii="Microsoft YaHei" w:eastAsia="Microsoft YaHei" w:hAnsi="Microsoft YaHei" w:cs="Microsoft YaHei"/>
          <w:color w:val="666666"/>
          <w:sz w:val="21"/>
          <w:szCs w:val="21"/>
        </w:rPr>
      </w:pPr>
      <w:r>
        <w:rPr>
          <w:rFonts w:ascii="SimSun" w:eastAsia="SimSun" w:hAnsi="SimSun" w:cs="SimSun"/>
          <w:color w:val="666666"/>
        </w:rPr>
        <w:t>第十九条  我校2019年在江苏省全日制普通本科招生对考生学业水平测试的等级要求是：B</w:t>
      </w:r>
      <w:r>
        <w:rPr>
          <w:rFonts w:ascii="SimSun" w:eastAsia="SimSun" w:hAnsi="SimSun" w:cs="SimSun"/>
          <w:color w:val="666666"/>
          <w:sz w:val="30"/>
          <w:szCs w:val="30"/>
          <w:vertAlign w:val="superscript"/>
        </w:rPr>
        <w:t>+</w:t>
      </w:r>
      <w:r>
        <w:rPr>
          <w:rFonts w:ascii="SimSun" w:eastAsia="SimSun" w:hAnsi="SimSun" w:cs="SimSun"/>
          <w:color w:val="666666"/>
        </w:rPr>
        <w:t>B（选测科目）5合格（必测科目）。进档后排序规则是：“先分数后等级”，即对进档考生按投档分从高到低排序，当投档分相同时，再参考考生的学业水平测试等级排序。专业的选测科目以江苏省教育考试院公布的我校本科招生专业选测科目为准。</w:t>
      </w:r>
    </w:p>
    <w:p>
      <w:pPr>
        <w:pBdr>
          <w:top w:val="none" w:sz="0" w:space="0" w:color="auto"/>
          <w:left w:val="none" w:sz="0" w:space="0" w:color="auto"/>
          <w:bottom w:val="none" w:sz="0" w:space="0" w:color="auto"/>
          <w:right w:val="none" w:sz="0" w:space="0" w:color="auto"/>
        </w:pBdr>
        <w:spacing w:before="0" w:after="0" w:line="600" w:lineRule="atLeast"/>
        <w:ind w:left="0" w:right="0" w:firstLine="630"/>
        <w:rPr>
          <w:rFonts w:ascii="Microsoft YaHei" w:eastAsia="Microsoft YaHei" w:hAnsi="Microsoft YaHei" w:cs="Microsoft YaHei"/>
          <w:color w:val="666666"/>
          <w:sz w:val="21"/>
          <w:szCs w:val="21"/>
        </w:rPr>
      </w:pPr>
      <w:r>
        <w:rPr>
          <w:rFonts w:ascii="SimSun" w:eastAsia="SimSun" w:hAnsi="SimSun" w:cs="SimSun"/>
          <w:color w:val="666666"/>
        </w:rPr>
        <w:t>第二十条  我校2019年在上海高考录取专业选考科目组要求如下：1.计算机类：物理或化学或生命科学；2.工商管理类：政治或历史或地理。</w:t>
      </w:r>
    </w:p>
    <w:p>
      <w:pPr>
        <w:pBdr>
          <w:top w:val="none" w:sz="0" w:space="0" w:color="auto"/>
          <w:left w:val="none" w:sz="0" w:space="0" w:color="auto"/>
          <w:bottom w:val="none" w:sz="0" w:space="0" w:color="auto"/>
          <w:right w:val="none" w:sz="0" w:space="0" w:color="auto"/>
        </w:pBdr>
        <w:spacing w:before="0" w:after="0" w:line="600" w:lineRule="atLeast"/>
        <w:ind w:left="0" w:right="0" w:firstLine="630"/>
        <w:rPr>
          <w:rFonts w:ascii="Microsoft YaHei" w:eastAsia="Microsoft YaHei" w:hAnsi="Microsoft YaHei" w:cs="Microsoft YaHei"/>
          <w:color w:val="666666"/>
          <w:sz w:val="21"/>
          <w:szCs w:val="21"/>
        </w:rPr>
      </w:pPr>
      <w:r>
        <w:rPr>
          <w:rFonts w:ascii="SimSun" w:eastAsia="SimSun" w:hAnsi="SimSun" w:cs="SimSun"/>
          <w:color w:val="666666"/>
        </w:rPr>
        <w:t>第二十一条  我校2019年在浙江高考录取专业选考科目要求如下：1.管理科学与工程类：物理或地理或技术；2.其余专业均为物理或化学。</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Sun" w:eastAsia="SimSun" w:hAnsi="SimSun" w:cs="SimSun"/>
          <w:color w:val="666666"/>
        </w:rPr>
        <w:t>第二十二条  新生入学后，学校将在3个月内进行全面复查。经复查不合格者，学校将视不同情况予以相应处理，直至取消入学资格。凡发现弄虚作假者，一律取消其入学资格。学校将及时公开新生复查期间的有关举报、调查及处理情况。</w:t>
      </w:r>
    </w:p>
    <w:p>
      <w:pPr>
        <w:pBdr>
          <w:top w:val="none" w:sz="0" w:space="0" w:color="auto"/>
          <w:left w:val="none" w:sz="0" w:space="0" w:color="auto"/>
          <w:bottom w:val="none" w:sz="0" w:space="0" w:color="auto"/>
          <w:right w:val="none" w:sz="0" w:space="0" w:color="auto"/>
        </w:pBdr>
        <w:spacing w:before="240" w:after="120" w:line="600" w:lineRule="atLeast"/>
        <w:ind w:left="0" w:right="0" w:firstLine="645"/>
        <w:jc w:val="center"/>
        <w:rPr>
          <w:rFonts w:ascii="Microsoft YaHei" w:eastAsia="Microsoft YaHei" w:hAnsi="Microsoft YaHei" w:cs="Microsoft YaHei"/>
          <w:color w:val="666666"/>
          <w:sz w:val="21"/>
          <w:szCs w:val="21"/>
        </w:rPr>
      </w:pPr>
      <w:r>
        <w:rPr>
          <w:rFonts w:ascii="SimSun" w:eastAsia="SimSun" w:hAnsi="SimSun" w:cs="SimSun"/>
          <w:b/>
          <w:bCs/>
          <w:color w:val="666666"/>
          <w:sz w:val="27"/>
          <w:szCs w:val="27"/>
        </w:rPr>
        <w:t>第四章  收费标准</w:t>
      </w:r>
    </w:p>
    <w:p>
      <w:pPr>
        <w:pBdr>
          <w:top w:val="none" w:sz="0" w:space="0" w:color="auto"/>
          <w:left w:val="none" w:sz="0" w:space="0" w:color="auto"/>
          <w:bottom w:val="none" w:sz="0" w:space="0" w:color="auto"/>
          <w:right w:val="none" w:sz="0" w:space="0" w:color="auto"/>
        </w:pBdr>
        <w:spacing w:before="0" w:after="0" w:line="600" w:lineRule="atLeast"/>
        <w:ind w:left="0" w:right="0" w:firstLine="630"/>
        <w:rPr>
          <w:rFonts w:ascii="Microsoft YaHei" w:eastAsia="Microsoft YaHei" w:hAnsi="Microsoft YaHei" w:cs="Microsoft YaHei"/>
          <w:color w:val="666666"/>
          <w:sz w:val="21"/>
          <w:szCs w:val="21"/>
        </w:rPr>
      </w:pPr>
      <w:r>
        <w:rPr>
          <w:rFonts w:ascii="SimSun" w:eastAsia="SimSun" w:hAnsi="SimSun" w:cs="SimSun"/>
          <w:color w:val="666666"/>
        </w:rPr>
        <w:t>第二十三条  学校严格按重庆市教育委员会、重庆市财政局、重庆市物价局有关文件规定确定收费标准。我校普通本科学生实行学分制收费，即：学年学费按专业学费（各专业标准不同）和学分学费（80元/学分）两部分计收，应交学费=专业学费+学分学费（所修学分×80元）。</w:t>
      </w:r>
    </w:p>
    <w:p>
      <w:pPr>
        <w:pBdr>
          <w:top w:val="none" w:sz="0" w:space="0" w:color="auto"/>
          <w:left w:val="none" w:sz="0" w:space="0" w:color="auto"/>
          <w:bottom w:val="none" w:sz="0" w:space="0" w:color="auto"/>
          <w:right w:val="none" w:sz="0" w:space="0" w:color="auto"/>
        </w:pBdr>
        <w:spacing w:before="0" w:after="0" w:line="600" w:lineRule="atLeast"/>
        <w:ind w:left="0" w:right="0" w:firstLine="630"/>
        <w:rPr>
          <w:rFonts w:ascii="Microsoft YaHei" w:eastAsia="Microsoft YaHei" w:hAnsi="Microsoft YaHei" w:cs="Microsoft YaHei"/>
          <w:color w:val="666666"/>
          <w:sz w:val="21"/>
          <w:szCs w:val="21"/>
        </w:rPr>
      </w:pPr>
      <w:r>
        <w:rPr>
          <w:rFonts w:ascii="SimSun" w:eastAsia="SimSun" w:hAnsi="SimSun" w:cs="SimSun"/>
          <w:color w:val="666666"/>
        </w:rPr>
        <w:t>第二十四条  学费收缴采用学年初预收，学年终结算，多退少补的方式，即在第一学年开学时按学年制的学费标准预收学分学费和专业学费，在学年结束时，学校计算出每生的专业学费和实际修读的学分学费总额，然后根据多退少补原则进行结算。应收学费总额如大于预收学费额的，差额部分在下一学年预收学费时一并收取；总额未达到预收学费额的，差额在下一学年预收学费时予以抵扣，毕业时一并结算。</w:t>
      </w:r>
    </w:p>
    <w:p>
      <w:pPr>
        <w:pBdr>
          <w:top w:val="none" w:sz="0" w:space="0" w:color="auto"/>
          <w:left w:val="none" w:sz="0" w:space="0" w:color="auto"/>
          <w:bottom w:val="none" w:sz="0" w:space="0" w:color="auto"/>
          <w:right w:val="none" w:sz="0" w:space="0" w:color="auto"/>
        </w:pBdr>
        <w:spacing w:before="0" w:after="0" w:line="600" w:lineRule="atLeast"/>
        <w:ind w:left="0" w:right="0" w:firstLine="615"/>
        <w:rPr>
          <w:rFonts w:ascii="Microsoft YaHei" w:eastAsia="Microsoft YaHei" w:hAnsi="Microsoft YaHei" w:cs="Microsoft YaHei"/>
          <w:color w:val="666666"/>
          <w:sz w:val="21"/>
          <w:szCs w:val="21"/>
        </w:rPr>
      </w:pPr>
      <w:r>
        <w:rPr>
          <w:rFonts w:ascii="SimSun" w:eastAsia="SimSun" w:hAnsi="SimSun" w:cs="SimSun"/>
          <w:color w:val="666666"/>
        </w:rPr>
        <w:t>第二十五条  普通本科专业第一学年学费预收：5600元/人·年～6800元/人·年（各专业不同）；中外合作办学项目普通本科专业第一年学费预收：23000元/人·年；艺术类本科专业第一学年学费预收：11500元/人·年。学年结束时，根据所修学分按多退少补原则进行结算。</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Sun" w:eastAsia="SimSun" w:hAnsi="SimSun" w:cs="SimSun"/>
          <w:color w:val="666666"/>
        </w:rPr>
        <w:t>双福校区住宿费标准：1000 元/人·年。</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Sun" w:eastAsia="SimSun" w:hAnsi="SimSun" w:cs="SimSun"/>
          <w:color w:val="666666"/>
        </w:rPr>
        <w:t>南岸校区住宿费标准：800元/人·年～1200元/人·年。</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Sun" w:eastAsia="SimSun" w:hAnsi="SimSun" w:cs="SimSun"/>
          <w:color w:val="666666"/>
        </w:rPr>
        <w:t>以上收费如有变动，以重庆市物价局的批复为准。</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Sun" w:eastAsia="SimSun" w:hAnsi="SimSun" w:cs="SimSun"/>
          <w:color w:val="FF0000"/>
        </w:rPr>
        <w:t>如因故退学或提前结束学业，学校按上级及学校规定退还剩余的学费和住宿费。</w:t>
      </w:r>
    </w:p>
    <w:p>
      <w:pPr>
        <w:pBdr>
          <w:top w:val="none" w:sz="0" w:space="0" w:color="auto"/>
          <w:left w:val="none" w:sz="0" w:space="0" w:color="auto"/>
          <w:bottom w:val="none" w:sz="0" w:space="0" w:color="auto"/>
          <w:right w:val="none" w:sz="0" w:space="0" w:color="auto"/>
        </w:pBdr>
        <w:spacing w:before="240" w:after="120" w:line="600" w:lineRule="atLeast"/>
        <w:ind w:left="0" w:right="0" w:firstLine="645"/>
        <w:jc w:val="center"/>
        <w:rPr>
          <w:rFonts w:ascii="Microsoft YaHei" w:eastAsia="Microsoft YaHei" w:hAnsi="Microsoft YaHei" w:cs="Microsoft YaHei"/>
          <w:color w:val="666666"/>
          <w:sz w:val="21"/>
          <w:szCs w:val="21"/>
        </w:rPr>
      </w:pPr>
      <w:r>
        <w:rPr>
          <w:rFonts w:ascii="SimSun" w:eastAsia="SimSun" w:hAnsi="SimSun" w:cs="SimSun"/>
          <w:b/>
          <w:bCs/>
          <w:color w:val="666666"/>
          <w:sz w:val="27"/>
          <w:szCs w:val="27"/>
        </w:rPr>
        <w:t>第五章 奖助学金及家庭经济困难学生资助</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Sun" w:eastAsia="SimSun" w:hAnsi="SimSun" w:cs="SimSun"/>
          <w:color w:val="666666"/>
        </w:rPr>
        <w:t>第二十六条  </w:t>
      </w:r>
      <w:r>
        <w:rPr>
          <w:rFonts w:ascii="方正仿宋_GBK" w:eastAsia="方正仿宋_GBK" w:hAnsi="方正仿宋_GBK" w:cs="方正仿宋_GBK"/>
          <w:color w:val="666666"/>
        </w:rPr>
        <w:t>我校设有国家奖学金、国家励志奖学金、明德奖学金、优秀学生奖学金以及北京中交路通百万奖学金等二十余项的专项奖学金，符合条件的全日制普通本科在校生均可申请。详情请登录：</w:t>
      </w:r>
      <w:hyperlink r:id="rId4" w:history="1">
        <w:r>
          <w:rPr>
            <w:rFonts w:ascii="方正仿宋_GBK" w:eastAsia="方正仿宋_GBK" w:hAnsi="方正仿宋_GBK" w:cs="方正仿宋_GBK"/>
            <w:color w:val="666666"/>
            <w:u w:val="single" w:color="666666"/>
          </w:rPr>
          <w:t>http://yx.cqjtu.edu.cn</w:t>
        </w:r>
      </w:hyperlink>
      <w:r>
        <w:rPr>
          <w:rFonts w:ascii="方正仿宋_GBK" w:eastAsia="方正仿宋_GBK" w:hAnsi="方正仿宋_GBK" w:cs="方正仿宋_GBK"/>
          <w:color w:val="666666"/>
        </w:rPr>
        <w:t>查询。</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Sun" w:eastAsia="SimSun" w:hAnsi="SimSun" w:cs="SimSun"/>
          <w:color w:val="666666"/>
        </w:rPr>
        <w:t>第二十七条  我校已建立了完善的家庭经济困难学生“奖贷助、勤补免”六位一体的资助体系。入学时，家庭经济困难新生如暂时筹集不齐学费和住宿费，可先通过学校开设的“绿色通道”按时报到。入校后，学校对其家庭经济困难情况进行核实，采取不同措施给予资助。其中，解决学费、住宿费问题，以国家助学贷款为主，以国家励志奖学金等为辅；解决生活费问题，以国家助学金为主，以勤工助学等为辅。此外，多家企业、社会团体和校友个人在我校设立了几十项奖助学金，共同帮助我校家庭经济困难学生顺利完成学业。</w:t>
      </w:r>
    </w:p>
    <w:p>
      <w:pPr>
        <w:pBdr>
          <w:top w:val="none" w:sz="0" w:space="0" w:color="auto"/>
          <w:left w:val="none" w:sz="0" w:space="0" w:color="auto"/>
          <w:bottom w:val="none" w:sz="0" w:space="0" w:color="auto"/>
          <w:right w:val="none" w:sz="0" w:space="0" w:color="auto"/>
        </w:pBdr>
        <w:spacing w:before="240" w:after="120" w:line="600" w:lineRule="atLeast"/>
        <w:ind w:left="0" w:right="0" w:firstLine="645"/>
        <w:jc w:val="center"/>
        <w:rPr>
          <w:rFonts w:ascii="Microsoft YaHei" w:eastAsia="Microsoft YaHei" w:hAnsi="Microsoft YaHei" w:cs="Microsoft YaHei"/>
          <w:color w:val="666666"/>
          <w:sz w:val="21"/>
          <w:szCs w:val="21"/>
        </w:rPr>
      </w:pPr>
      <w:r>
        <w:rPr>
          <w:rFonts w:ascii="SimSun" w:eastAsia="SimSun" w:hAnsi="SimSun" w:cs="SimSun"/>
          <w:b/>
          <w:bCs/>
          <w:color w:val="666666"/>
          <w:sz w:val="27"/>
          <w:szCs w:val="27"/>
        </w:rPr>
        <w:t>第六章  招生联络及查询</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Sun" w:eastAsia="SimSun" w:hAnsi="SimSun" w:cs="SimSun"/>
          <w:color w:val="666666"/>
        </w:rPr>
        <w:t>第二十八条  学校招生信息可通过以下五种途径咨询：</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Sun" w:eastAsia="SimSun" w:hAnsi="SimSun" w:cs="SimSun"/>
          <w:color w:val="666666"/>
        </w:rPr>
        <w:t>1.重庆交通大学招生就业信息网</w:t>
      </w:r>
      <w:r>
        <w:rPr>
          <w:rFonts w:ascii="SimSun" w:eastAsia="SimSun" w:hAnsi="SimSun" w:cs="SimSun"/>
          <w:color w:val="666666"/>
          <w:spacing w:val="-15"/>
        </w:rPr>
        <w:t>（http://zsjy.cqjtu.edu.cn）；</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Sun" w:eastAsia="SimSun" w:hAnsi="SimSun" w:cs="SimSun"/>
          <w:color w:val="666666"/>
        </w:rPr>
        <w:t>2.报考咨询电话：023-62652498；</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Sun" w:eastAsia="SimSun" w:hAnsi="SimSun" w:cs="SimSun"/>
          <w:color w:val="666666"/>
        </w:rPr>
        <w:t>录取期间开通咨询电话：023-62652498、62652497、62652361。</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Sun" w:eastAsia="SimSun" w:hAnsi="SimSun" w:cs="SimSun"/>
          <w:color w:val="666666"/>
        </w:rPr>
        <w:t>3.电子邮件：zsk@cqjtu.edu.cn；</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Sun" w:eastAsia="SimSun" w:hAnsi="SimSun" w:cs="SimSun"/>
          <w:color w:val="666666"/>
        </w:rPr>
        <w:t>4.官方微信：重庆交通大学本科招生办公室；</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Sun" w:eastAsia="SimSun" w:hAnsi="SimSun" w:cs="SimSun"/>
          <w:color w:val="666666"/>
        </w:rPr>
        <w:t>5.招生APP：下载地址http://zsjy.cqjtu.edu.cn</w:t>
      </w:r>
      <w:r>
        <w:rPr>
          <w:rFonts w:ascii="SimSun" w:eastAsia="SimSun" w:hAnsi="SimSun" w:cs="SimSun"/>
          <w:color w:val="666666"/>
          <w:spacing w:val="-15"/>
        </w:rPr>
        <w:t>。</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Sun" w:eastAsia="SimSun" w:hAnsi="SimSun" w:cs="SimSun"/>
          <w:color w:val="666666"/>
        </w:rPr>
        <w:t>第二十九条  录取结果将及时在学校招生就业信息网、微信平台、招生APP上公布，供考生查询。</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Sun" w:eastAsia="SimSun" w:hAnsi="SimSun" w:cs="SimSun"/>
          <w:color w:val="666666"/>
        </w:rPr>
        <w:t>第三十条  学校招生录取工作接受上级和学校</w:t>
      </w:r>
      <w:r>
        <w:rPr>
          <w:rFonts w:ascii="SimSun" w:eastAsia="SimSun" w:hAnsi="SimSun" w:cs="SimSun"/>
          <w:color w:val="FF0000"/>
        </w:rPr>
        <w:t>纪检监察部门、</w:t>
      </w:r>
      <w:r>
        <w:rPr>
          <w:rFonts w:ascii="SimSun" w:eastAsia="SimSun" w:hAnsi="SimSun" w:cs="SimSun"/>
          <w:color w:val="666666"/>
        </w:rPr>
        <w:t>考生及其家长、社会的监督。监督电话：023-62789036。</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Sun" w:eastAsia="SimSun" w:hAnsi="SimSun" w:cs="SimSun"/>
          <w:color w:val="666666"/>
        </w:rPr>
        <w:t>第三十一条 我校从不委托任何单位和个人代办招生事宜，有关招生录取事宜，请直接与我校招生与就业工作处联系，否则出现任何后果，学校概不负责。</w:t>
      </w:r>
    </w:p>
    <w:p>
      <w:pPr>
        <w:pBdr>
          <w:top w:val="none" w:sz="0" w:space="0" w:color="auto"/>
          <w:left w:val="none" w:sz="0" w:space="0" w:color="auto"/>
          <w:bottom w:val="none" w:sz="0" w:space="0" w:color="auto"/>
          <w:right w:val="none" w:sz="0" w:space="0" w:color="auto"/>
        </w:pBdr>
        <w:spacing w:before="240" w:after="120" w:line="600" w:lineRule="atLeast"/>
        <w:ind w:left="0" w:right="0" w:firstLine="645"/>
        <w:jc w:val="center"/>
        <w:rPr>
          <w:rFonts w:ascii="Microsoft YaHei" w:eastAsia="Microsoft YaHei" w:hAnsi="Microsoft YaHei" w:cs="Microsoft YaHei"/>
          <w:color w:val="666666"/>
          <w:sz w:val="21"/>
          <w:szCs w:val="21"/>
        </w:rPr>
      </w:pPr>
      <w:r>
        <w:rPr>
          <w:rFonts w:ascii="SimSun" w:eastAsia="SimSun" w:hAnsi="SimSun" w:cs="SimSun"/>
          <w:b/>
          <w:bCs/>
          <w:color w:val="666666"/>
          <w:sz w:val="27"/>
          <w:szCs w:val="27"/>
        </w:rPr>
        <w:t>第七章  附  则</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Sun" w:eastAsia="SimSun" w:hAnsi="SimSun" w:cs="SimSun"/>
          <w:color w:val="666666"/>
        </w:rPr>
        <w:t>第三十二条 本章程若与国家法律、法规、章程、规范和上级有关政策不符，按国家法律、法规、章程、规范和上级有关政策执行。</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Sun" w:eastAsia="SimSun" w:hAnsi="SimSun" w:cs="SimSun"/>
          <w:color w:val="666666"/>
        </w:rPr>
        <w:t>第三十三条  本章程由学校授权招生与就业工作处解释。</w:t>
      </w:r>
    </w:p>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1"/>
          <w:szCs w:val="21"/>
        </w:rPr>
        <w:t>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西南大学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重庆电讯职业学院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重庆人文科技学院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21/17448.html" TargetMode="External" /><Relationship Id="rId11" Type="http://schemas.openxmlformats.org/officeDocument/2006/relationships/hyperlink" Target="http://www.gk114.com/a/gxzs/zszc/chongqing/2020/0717/17437.html" TargetMode="External" /><Relationship Id="rId12" Type="http://schemas.openxmlformats.org/officeDocument/2006/relationships/hyperlink" Target="http://www.gk114.com/a/gxzs/zszc/chongqing/2020/0629/17216.html" TargetMode="External" /><Relationship Id="rId13" Type="http://schemas.openxmlformats.org/officeDocument/2006/relationships/hyperlink" Target="http://www.gk114.com/a/gxzs/zszc/chongqing/2020/0629/17215.html" TargetMode="External" /><Relationship Id="rId14" Type="http://schemas.openxmlformats.org/officeDocument/2006/relationships/hyperlink" Target="http://www.gk114.com/a/gxzs/zszc/chongqing/2020/0629/17214.html" TargetMode="External" /><Relationship Id="rId15" Type="http://schemas.openxmlformats.org/officeDocument/2006/relationships/hyperlink" Target="http://www.gk114.com/a/gxzs/zszc/chongqing/2020/0629/17213.html" TargetMode="External" /><Relationship Id="rId16" Type="http://schemas.openxmlformats.org/officeDocument/2006/relationships/hyperlink" Target="http://www.gk114.com/a/gxzs/zszc/chongqing/2020/0629/17212.html" TargetMode="External" /><Relationship Id="rId17" Type="http://schemas.openxmlformats.org/officeDocument/2006/relationships/hyperlink" Target="http://www.gk114.com/a/gxzs/zszc/chongqing/2020/0629/17211.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yx.cqjtu.edu.cn/" TargetMode="External" /><Relationship Id="rId5" Type="http://schemas.openxmlformats.org/officeDocument/2006/relationships/hyperlink" Target="http://www.gk114.com/a/gxzs/zszc/chongqing/2019/0613/9840.html" TargetMode="External" /><Relationship Id="rId6" Type="http://schemas.openxmlformats.org/officeDocument/2006/relationships/hyperlink" Target="http://www.gk114.com/a/gxzs/zszc/chongqing/2019/0613/9842.html" TargetMode="External" /><Relationship Id="rId7" Type="http://schemas.openxmlformats.org/officeDocument/2006/relationships/hyperlink" Target="http://www.gk114.com/a/gxzs/zszc/chongqing/" TargetMode="External" /><Relationship Id="rId8" Type="http://schemas.openxmlformats.org/officeDocument/2006/relationships/hyperlink" Target="http://www.gk114.com/a/gxzs/zszc/chongqing/2022/0328/21993.html" TargetMode="External" /><Relationship Id="rId9" Type="http://schemas.openxmlformats.org/officeDocument/2006/relationships/hyperlink" Target="http://www.gk114.com/a/gxzs/zszc/chongqing/2022/0303/2180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